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77777777" w:rsidR="004F0988" w:rsidRPr="002247E8" w:rsidRDefault="004F0988" w:rsidP="00557869">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3C64B3" w:rsidRPr="002247E8">
              <w:t>V0.</w:t>
            </w:r>
            <w:r w:rsidR="00557869">
              <w:t>1</w:t>
            </w:r>
            <w:r w:rsidR="003C64B3" w:rsidRPr="002247E8">
              <w:t>.</w:t>
            </w:r>
            <w:r w:rsidR="00AB2655">
              <w:t>0</w:t>
            </w:r>
            <w:r w:rsidRPr="002247E8">
              <w:t xml:space="preserve"> </w:t>
            </w:r>
            <w:r w:rsidRPr="002247E8">
              <w:rPr>
                <w:sz w:val="32"/>
              </w:rPr>
              <w:t>(</w:t>
            </w:r>
            <w:r w:rsidR="00356255">
              <w:rPr>
                <w:sz w:val="32"/>
              </w:rPr>
              <w:t>202</w:t>
            </w:r>
            <w:r w:rsidR="00C8206E">
              <w:rPr>
                <w:sz w:val="32"/>
              </w:rPr>
              <w:t>1</w:t>
            </w:r>
            <w:r w:rsidR="003C64B3" w:rsidRPr="002247E8">
              <w:rPr>
                <w:sz w:val="32"/>
              </w:rPr>
              <w:t>-0</w:t>
            </w:r>
            <w:r w:rsidR="00C8206E">
              <w:rPr>
                <w:sz w:val="32"/>
              </w:rPr>
              <w:t>3</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1"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1"/>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3" w:name="_Toc50023302"/>
      <w:r w:rsidRPr="004D3578">
        <w:lastRenderedPageBreak/>
        <w:t>Foreword</w:t>
      </w:r>
      <w:bookmarkEnd w:id="3"/>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4" w:name="_Toc50023304"/>
      <w:r w:rsidRPr="004D3578">
        <w:lastRenderedPageBreak/>
        <w:t>1</w:t>
      </w:r>
      <w:r w:rsidRPr="004D3578">
        <w:tab/>
        <w:t>Scope</w:t>
      </w:r>
      <w:bookmarkEnd w:id="4"/>
    </w:p>
    <w:p w14:paraId="25F7CBEC" w14:textId="77777777" w:rsidR="00842F7A" w:rsidRDefault="00BD0446" w:rsidP="00BD0446">
      <w:r>
        <w:t>The present document captures the findings of the study item, “</w:t>
      </w:r>
      <w:r w:rsidRPr="00BD0446">
        <w:t>Study on scenarios and requirements of in-coverage, partial coverage, and out-of-coverage positioning use cases</w:t>
      </w:r>
      <w:r>
        <w:t>”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77777777" w:rsidR="00080512" w:rsidRPr="004D3578" w:rsidRDefault="00BD0446" w:rsidP="00BD0446">
      <w:r>
        <w:t>This document is a 'living' document, i.e. it is permanently updated and presented to TSG-RAN meetings.</w:t>
      </w:r>
    </w:p>
    <w:p w14:paraId="5794CA37" w14:textId="77777777" w:rsidR="00080512" w:rsidRPr="004D3578" w:rsidRDefault="00080512">
      <w:pPr>
        <w:pStyle w:val="1"/>
      </w:pPr>
      <w:bookmarkStart w:id="5" w:name="_Toc50023305"/>
      <w:r w:rsidRPr="004D3578">
        <w:t>2</w:t>
      </w:r>
      <w:r w:rsidRPr="004D3578">
        <w:tab/>
        <w:t>References</w:t>
      </w:r>
      <w:bookmarkEnd w:id="5"/>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77777777" w:rsidR="00EC4A25"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14:paraId="2B0AD3C8" w14:textId="77777777" w:rsidR="00BD0446" w:rsidRDefault="00BD0446" w:rsidP="00EC4A25">
      <w:pPr>
        <w:pStyle w:val="EX"/>
      </w:pPr>
      <w:r>
        <w:t>[2]</w:t>
      </w:r>
      <w:r>
        <w:tab/>
        <w:t xml:space="preserve">3GPP </w:t>
      </w:r>
      <w:r w:rsidRPr="00BD0446">
        <w:t>RP-</w:t>
      </w:r>
      <w:proofErr w:type="gramStart"/>
      <w:r w:rsidRPr="00BD0446">
        <w:t>201518</w:t>
      </w:r>
      <w:r>
        <w:t xml:space="preserve"> :</w:t>
      </w:r>
      <w:proofErr w:type="gramEnd"/>
      <w:r>
        <w:t xml:space="preserve"> </w:t>
      </w:r>
      <w:r w:rsidRPr="00BD0446">
        <w:t>"Revised SID on Study on scenarios and requirements of in-coverage, partial coverage, and out-of-coverage positioning use cases"</w:t>
      </w:r>
      <w:r>
        <w:t>.</w:t>
      </w:r>
    </w:p>
    <w:p w14:paraId="596B6F4E" w14:textId="77777777"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 xml:space="preserve">TS </w:t>
      </w:r>
      <w:proofErr w:type="gramStart"/>
      <w:r w:rsidRPr="00A17F53">
        <w:rPr>
          <w:rFonts w:eastAsia="맑은 고딕"/>
        </w:rPr>
        <w:t>22.261</w:t>
      </w:r>
      <w:r>
        <w:rPr>
          <w:rFonts w:eastAsia="맑은 고딕"/>
        </w:rPr>
        <w:t xml:space="preserve"> :</w:t>
      </w:r>
      <w:proofErr w:type="gramEnd"/>
      <w:r>
        <w:rPr>
          <w:rFonts w:eastAsia="맑은 고딕"/>
        </w:rPr>
        <w:t xml:space="preserve"> </w:t>
      </w:r>
      <w:r w:rsidRPr="00A17F53">
        <w:rPr>
          <w:rFonts w:eastAsia="맑은 고딕"/>
        </w:rPr>
        <w:t>"Service requirements for the 5G system".</w:t>
      </w:r>
    </w:p>
    <w:p w14:paraId="0999E067" w14:textId="77777777"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 xml:space="preserve">TS </w:t>
      </w:r>
      <w:proofErr w:type="gramStart"/>
      <w:r w:rsidRPr="00A17F53">
        <w:rPr>
          <w:rFonts w:eastAsia="맑은 고딕"/>
        </w:rPr>
        <w:t>22.186</w:t>
      </w:r>
      <w:r>
        <w:rPr>
          <w:rFonts w:eastAsia="맑은 고딕"/>
        </w:rPr>
        <w:t xml:space="preserve"> :</w:t>
      </w:r>
      <w:proofErr w:type="gramEnd"/>
      <w:r w:rsidRPr="00A17F53">
        <w:rPr>
          <w:rFonts w:eastAsia="맑은 고딕"/>
        </w:rPr>
        <w:t xml:space="preserve"> "Enhancement of 3GPP support for V2X scenarios".</w:t>
      </w:r>
    </w:p>
    <w:p w14:paraId="6F427375" w14:textId="77777777"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w:t>
      </w:r>
      <w:proofErr w:type="gramStart"/>
      <w:r w:rsidRPr="00997FA7">
        <w:rPr>
          <w:rFonts w:eastAsia="맑은 고딕"/>
        </w:rPr>
        <w:t>210040</w:t>
      </w:r>
      <w:r>
        <w:rPr>
          <w:rFonts w:eastAsia="맑은 고딕"/>
        </w:rPr>
        <w:t xml:space="preserve"> :</w:t>
      </w:r>
      <w:proofErr w:type="gramEnd"/>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77777777"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w:t>
      </w:r>
      <w:proofErr w:type="gramStart"/>
      <w:r w:rsidRPr="005637AF">
        <w:rPr>
          <w:rFonts w:eastAsia="맑은 고딕"/>
        </w:rPr>
        <w:t>210036 :</w:t>
      </w:r>
      <w:proofErr w:type="gramEnd"/>
      <w:r w:rsidRPr="005637AF">
        <w:rPr>
          <w:rFonts w:eastAsia="맑은 고딕"/>
        </w:rPr>
        <w:t xml:space="preserve"> "Reply LS to 3GPP TSG RAN on requirements of in-coverage, partial coverage and out-of-coverage positioning use cases," (source: SAE Advanced Applications Technical Committee)</w:t>
      </w:r>
    </w:p>
    <w:p w14:paraId="30E22E33" w14:textId="77777777" w:rsidR="00557869" w:rsidRPr="00557869"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 xml:space="preserve">3GPP TS </w:t>
      </w:r>
      <w:proofErr w:type="gramStart"/>
      <w:r w:rsidRPr="005637AF">
        <w:rPr>
          <w:rFonts w:eastAsia="맑은 고딕"/>
        </w:rPr>
        <w:t>22.280 :</w:t>
      </w:r>
      <w:proofErr w:type="gramEnd"/>
      <w:r w:rsidRPr="005637AF">
        <w:rPr>
          <w:rFonts w:eastAsia="맑은 고딕"/>
        </w:rPr>
        <w:t xml:space="preserve"> "Mission Critical Services Common Requirements (</w:t>
      </w:r>
      <w:proofErr w:type="spellStart"/>
      <w:r w:rsidRPr="005637AF">
        <w:rPr>
          <w:rFonts w:eastAsia="맑은 고딕"/>
        </w:rPr>
        <w:t>MCCoRe</w:t>
      </w:r>
      <w:proofErr w:type="spellEnd"/>
      <w:r w:rsidRPr="005637AF">
        <w:rPr>
          <w:rFonts w:eastAsia="맑은 고딕"/>
        </w:rPr>
        <w:t>)"</w:t>
      </w:r>
    </w:p>
    <w:p w14:paraId="7013284D" w14:textId="77777777" w:rsidR="00080512" w:rsidRPr="004D3578" w:rsidRDefault="00080512">
      <w:pPr>
        <w:pStyle w:val="1"/>
      </w:pPr>
      <w:bookmarkStart w:id="6" w:name="_Toc50023306"/>
      <w:r w:rsidRPr="004D3578">
        <w:t>3</w:t>
      </w:r>
      <w:r w:rsidRPr="004D3578">
        <w:tab/>
      </w:r>
      <w:bookmarkEnd w:id="6"/>
      <w:r w:rsidR="00AB2655" w:rsidRPr="00AB2655">
        <w:t>Definitions of terms, symbols and abbreviations</w:t>
      </w:r>
    </w:p>
    <w:p w14:paraId="29FE00A5" w14:textId="77777777" w:rsidR="00080512" w:rsidRPr="004D3578" w:rsidRDefault="00080512">
      <w:pPr>
        <w:pStyle w:val="2"/>
      </w:pPr>
      <w:bookmarkStart w:id="7" w:name="_Toc50023307"/>
      <w:r w:rsidRPr="004D3578">
        <w:t>3.1</w:t>
      </w:r>
      <w:r w:rsidRPr="004D3578">
        <w:tab/>
      </w:r>
      <w:bookmarkEnd w:id="7"/>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lastRenderedPageBreak/>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8" w:name="_Toc50023308"/>
      <w:r w:rsidRPr="004D3578">
        <w:t>3.2</w:t>
      </w:r>
      <w:r w:rsidRPr="004D3578">
        <w:tab/>
        <w:t>Symbols</w:t>
      </w:r>
      <w:bookmarkEnd w:id="8"/>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9" w:name="_Toc50023309"/>
      <w:r w:rsidRPr="004D3578">
        <w:t>3.3</w:t>
      </w:r>
      <w:r w:rsidRPr="004D3578">
        <w:tab/>
        <w:t>Abbreviations</w:t>
      </w:r>
      <w:bookmarkEnd w:id="9"/>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77777777" w:rsidR="00557869" w:rsidRPr="00557869" w:rsidRDefault="00557869" w:rsidP="00557869">
      <w:pPr>
        <w:keepLines/>
        <w:spacing w:after="0"/>
        <w:ind w:left="1702" w:hanging="1418"/>
        <w:rPr>
          <w:rFonts w:eastAsia="맑은 고딕"/>
          <w:lang w:val="en-US" w:eastAsia="ko-KR"/>
        </w:rPr>
      </w:pPr>
      <w:r w:rsidRPr="00557869">
        <w:rPr>
          <w:rFonts w:eastAsia="맑은 고딕"/>
          <w:lang w:val="en-US" w:eastAsia="ko-KR"/>
        </w:rPr>
        <w:t>5GAA</w:t>
      </w:r>
      <w:r w:rsidRPr="00557869">
        <w:rPr>
          <w:rFonts w:eastAsia="맑은 고딕" w:hint="eastAsia"/>
          <w:lang w:val="en-US" w:eastAsia="ko-KR"/>
        </w:rPr>
        <w:tab/>
      </w:r>
      <w:r w:rsidRPr="00557869">
        <w:rPr>
          <w:rFonts w:eastAsia="맑은 고딕"/>
          <w:lang w:val="en-US" w:eastAsia="ko-KR"/>
        </w:rPr>
        <w:t xml:space="preserve">5G Automotive Association </w:t>
      </w:r>
    </w:p>
    <w:p w14:paraId="4952AD8A" w14:textId="77777777" w:rsidR="00557869" w:rsidRPr="00557869" w:rsidRDefault="00557869" w:rsidP="00557869">
      <w:pPr>
        <w:keepLines/>
        <w:spacing w:after="0"/>
        <w:ind w:left="1702" w:hanging="1418"/>
        <w:rPr>
          <w:rFonts w:eastAsia="맑은 고딕"/>
          <w:lang w:val="en-US" w:eastAsia="ko-KR"/>
        </w:rPr>
      </w:pPr>
      <w:r w:rsidRPr="00557869">
        <w:rPr>
          <w:rFonts w:eastAsia="맑은 고딕"/>
          <w:lang w:val="en-US" w:eastAsia="ko-KR"/>
        </w:rPr>
        <w:t>SAE AA TC</w:t>
      </w:r>
      <w:r w:rsidRPr="00557869">
        <w:rPr>
          <w:rFonts w:eastAsia="맑은 고딕"/>
          <w:lang w:val="en-US" w:eastAsia="ko-KR"/>
        </w:rPr>
        <w:tab/>
        <w:t>SAE Advanced Applications Technical Committee</w:t>
      </w:r>
    </w:p>
    <w:p w14:paraId="03D8670C" w14:textId="77777777" w:rsidR="00080512" w:rsidRPr="00557869" w:rsidRDefault="00080512">
      <w:pPr>
        <w:pStyle w:val="EW"/>
      </w:pPr>
    </w:p>
    <w:p w14:paraId="1FF5D7A8" w14:textId="77777777" w:rsidR="00203442" w:rsidRDefault="00146875">
      <w:pPr>
        <w:pStyle w:val="1"/>
      </w:pPr>
      <w:bookmarkStart w:id="10" w:name="_Toc50023310"/>
      <w:r>
        <w:t>4</w:t>
      </w:r>
      <w:r w:rsidR="00203442">
        <w:tab/>
      </w:r>
      <w:r w:rsidR="00356255">
        <w:t>P</w:t>
      </w:r>
      <w:r w:rsidR="00356255" w:rsidRPr="00356255">
        <w:t>ositioning use cases and requirements</w:t>
      </w:r>
      <w:bookmarkEnd w:id="10"/>
    </w:p>
    <w:p w14:paraId="355F0686" w14:textId="77777777"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Pr>
          <w:rFonts w:ascii="Arial" w:eastAsia="맑은 고딕" w:hAnsi="Arial"/>
          <w:sz w:val="32"/>
        </w:rPr>
        <w:t>0</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77777777" w:rsidR="006155EA" w:rsidRPr="004D3578" w:rsidRDefault="00146875" w:rsidP="006155EA">
      <w:pPr>
        <w:pStyle w:val="2"/>
        <w:rPr>
          <w:lang w:eastAsia="ko-KR"/>
        </w:rPr>
      </w:pPr>
      <w:r>
        <w:t>4</w:t>
      </w:r>
      <w:r w:rsidR="006155EA" w:rsidRPr="004D3578">
        <w:t>.1</w:t>
      </w:r>
      <w:r w:rsidR="006155EA" w:rsidRPr="004D3578">
        <w:tab/>
      </w:r>
      <w:r w:rsidR="006155EA">
        <w:rPr>
          <w:rFonts w:hint="eastAsia"/>
          <w:lang w:eastAsia="ko-KR"/>
        </w:rPr>
        <w:t>V2X</w:t>
      </w:r>
    </w:p>
    <w:p w14:paraId="5E7DC2F2" w14:textId="77777777"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GPP specifications, V2X positioning requirements can be found in [3] and [4].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77777777" w:rsidR="004937D4" w:rsidRP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xml:space="preserve">. Also, the requirements are applicable to relative and absolute positioning depending on the use case or the positioning service level. In terms of the horizontal or lateral/longitudinal accuracy, </w:t>
      </w:r>
      <w:commentRangeStart w:id="11"/>
      <w:r w:rsidRPr="004937D4">
        <w:rPr>
          <w:rFonts w:eastAsia="맑은 고딕"/>
          <w:lang w:eastAsia="ko-KR"/>
        </w:rPr>
        <w:t>the requirements for the absolute position or relative position can be categorised into three sets as follows</w:t>
      </w:r>
      <w:commentRangeEnd w:id="11"/>
      <w:r w:rsidR="005F1213">
        <w:rPr>
          <w:rStyle w:val="aa"/>
        </w:rPr>
        <w:commentReference w:id="11"/>
      </w:r>
      <w:r w:rsidRPr="004937D4">
        <w:rPr>
          <w:rFonts w:eastAsia="맑은 고딕"/>
          <w:lang w:eastAsia="ko-KR"/>
        </w:rPr>
        <w:t xml:space="preserve"> by incorporating the requirements from the sources mentioned above:</w:t>
      </w:r>
    </w:p>
    <w:p w14:paraId="375838C4" w14:textId="77777777" w:rsidR="004937D4" w:rsidRPr="004937D4" w:rsidRDefault="004937D4" w:rsidP="004937D4">
      <w:pPr>
        <w:widowControl w:val="0"/>
        <w:numPr>
          <w:ilvl w:val="0"/>
          <w:numId w:val="6"/>
        </w:numPr>
        <w:wordWrap w:val="0"/>
        <w:autoSpaceDE w:val="0"/>
        <w:autoSpaceDN w:val="0"/>
        <w:spacing w:before="120" w:after="0" w:line="264" w:lineRule="auto"/>
        <w:jc w:val="both"/>
        <w:rPr>
          <w:rFonts w:eastAsia="맑은 고딕" w:hAnsi="맑은 고딕"/>
          <w:lang w:eastAsia="ko-KR"/>
        </w:rPr>
      </w:pPr>
      <w:r w:rsidRPr="004937D4">
        <w:rPr>
          <w:rFonts w:eastAsia="맑은 고딕" w:hAnsi="맑은 고딕"/>
          <w:lang w:eastAsia="ko-KR"/>
        </w:rPr>
        <w:t xml:space="preserve">Set 1: 10 </w:t>
      </w:r>
      <w:r w:rsidRPr="004937D4">
        <w:rPr>
          <w:rFonts w:eastAsia="맑은 고딕" w:hAnsi="맑은 고딕"/>
          <w:lang w:eastAsia="ko-KR"/>
        </w:rPr>
        <w:t>–</w:t>
      </w:r>
      <w:r w:rsidRPr="004937D4">
        <w:rPr>
          <w:rFonts w:eastAsia="맑은 고딕" w:hAnsi="맑은 고딕"/>
          <w:lang w:eastAsia="ko-KR"/>
        </w:rPr>
        <w:t xml:space="preserve"> 50 m with 68 </w:t>
      </w:r>
      <w:r w:rsidRPr="004937D4">
        <w:rPr>
          <w:rFonts w:eastAsia="맑은 고딕" w:hAnsi="맑은 고딕"/>
          <w:lang w:eastAsia="ko-KR"/>
        </w:rPr>
        <w:t>–</w:t>
      </w:r>
      <w:r w:rsidRPr="004937D4">
        <w:rPr>
          <w:rFonts w:eastAsia="맑은 고딕" w:hAnsi="맑은 고딕"/>
          <w:lang w:eastAsia="ko-KR"/>
        </w:rPr>
        <w:t xml:space="preserve"> 95 % confidence level. This includes Group 1 in [5] and Service level 1 in [3].</w:t>
      </w:r>
    </w:p>
    <w:p w14:paraId="4E86958A" w14:textId="77777777" w:rsidR="004937D4" w:rsidRPr="004937D4" w:rsidRDefault="004937D4" w:rsidP="004937D4">
      <w:pPr>
        <w:widowControl w:val="0"/>
        <w:numPr>
          <w:ilvl w:val="0"/>
          <w:numId w:val="6"/>
        </w:numPr>
        <w:wordWrap w:val="0"/>
        <w:autoSpaceDE w:val="0"/>
        <w:autoSpaceDN w:val="0"/>
        <w:spacing w:before="120" w:after="0" w:line="264" w:lineRule="auto"/>
        <w:jc w:val="both"/>
        <w:rPr>
          <w:rFonts w:eastAsia="맑은 고딕" w:hAnsi="맑은 고딕"/>
          <w:lang w:eastAsia="ko-KR"/>
        </w:rPr>
      </w:pPr>
      <w:r w:rsidRPr="004937D4">
        <w:rPr>
          <w:rFonts w:eastAsia="맑은 고딕" w:hAnsi="맑은 고딕"/>
          <w:lang w:eastAsia="ko-KR"/>
        </w:rPr>
        <w:t xml:space="preserve">Set 2: 1 </w:t>
      </w:r>
      <w:r w:rsidRPr="004937D4">
        <w:rPr>
          <w:rFonts w:eastAsia="맑은 고딕" w:hAnsi="맑은 고딕"/>
          <w:lang w:eastAsia="ko-KR"/>
        </w:rPr>
        <w:t>–</w:t>
      </w:r>
      <w:r w:rsidRPr="004937D4">
        <w:rPr>
          <w:rFonts w:eastAsia="맑은 고딕" w:hAnsi="맑은 고딕"/>
          <w:lang w:eastAsia="ko-KR"/>
        </w:rPr>
        <w:t xml:space="preserve"> 3 m with 95 </w:t>
      </w:r>
      <w:r w:rsidRPr="004937D4">
        <w:rPr>
          <w:rFonts w:eastAsia="맑은 고딕" w:hAnsi="맑은 고딕"/>
          <w:lang w:eastAsia="ko-KR"/>
        </w:rPr>
        <w:t>–</w:t>
      </w:r>
      <w:r w:rsidRPr="004937D4">
        <w:rPr>
          <w:rFonts w:eastAsia="맑은 고딕" w:hAnsi="맑은 고딕"/>
          <w:lang w:eastAsia="ko-KR"/>
        </w:rPr>
        <w:t xml:space="preserve"> 99 % confidence level. This includes Group 2 in [5], Service level 2, 3, 4 in [3].</w:t>
      </w:r>
      <w:bookmarkStart w:id="12" w:name="_GoBack"/>
      <w:bookmarkEnd w:id="12"/>
    </w:p>
    <w:p w14:paraId="1C239CE9" w14:textId="77777777" w:rsidR="004937D4" w:rsidRPr="004937D4" w:rsidRDefault="004937D4" w:rsidP="004937D4">
      <w:pPr>
        <w:widowControl w:val="0"/>
        <w:numPr>
          <w:ilvl w:val="0"/>
          <w:numId w:val="6"/>
        </w:numPr>
        <w:wordWrap w:val="0"/>
        <w:autoSpaceDE w:val="0"/>
        <w:autoSpaceDN w:val="0"/>
        <w:spacing w:before="120" w:after="0" w:line="264" w:lineRule="auto"/>
        <w:jc w:val="both"/>
        <w:rPr>
          <w:rFonts w:eastAsia="맑은 고딕" w:hAnsi="맑은 고딕"/>
          <w:lang w:eastAsia="ko-KR"/>
        </w:rPr>
      </w:pPr>
      <w:r w:rsidRPr="004937D4">
        <w:rPr>
          <w:rFonts w:eastAsia="맑은 고딕" w:hAnsi="맑은 고딕"/>
          <w:lang w:eastAsia="ko-KR"/>
        </w:rPr>
        <w:t xml:space="preserve">Set 3: 0.1 </w:t>
      </w:r>
      <w:r w:rsidRPr="004937D4">
        <w:rPr>
          <w:rFonts w:eastAsia="맑은 고딕" w:hAnsi="맑은 고딕"/>
          <w:lang w:eastAsia="ko-KR"/>
        </w:rPr>
        <w:t>–</w:t>
      </w:r>
      <w:r w:rsidRPr="004937D4">
        <w:rPr>
          <w:rFonts w:eastAsia="맑은 고딕" w:hAnsi="맑은 고딕"/>
          <w:lang w:eastAsia="ko-KR"/>
        </w:rPr>
        <w:t xml:space="preserve"> 0.5 m with 95 </w:t>
      </w:r>
      <w:r w:rsidRPr="004937D4">
        <w:rPr>
          <w:rFonts w:eastAsia="맑은 고딕" w:hAnsi="맑은 고딕"/>
          <w:lang w:eastAsia="ko-KR"/>
        </w:rPr>
        <w:t>–</w:t>
      </w:r>
      <w:r w:rsidRPr="004937D4">
        <w:rPr>
          <w:rFonts w:eastAsia="맑은 고딕" w:hAnsi="맑은 고딕"/>
          <w:lang w:eastAsia="ko-KR"/>
        </w:rPr>
        <w:t xml:space="preserve"> 99 % confidence level. This includes Group 3 in [5], Service level 5, 6, 7 in [3], the </w:t>
      </w:r>
      <w:r w:rsidRPr="004937D4">
        <w:rPr>
          <w:rFonts w:eastAsia="맑은 고딕" w:hAnsi="맑은 고딕"/>
          <w:lang w:eastAsia="ko-KR"/>
        </w:rPr>
        <w:lastRenderedPageBreak/>
        <w:t>requirements in [4].</w:t>
      </w:r>
    </w:p>
    <w:p w14:paraId="1D475EF4" w14:textId="77777777"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77777777" w:rsidR="006155EA" w:rsidRPr="004D3578" w:rsidRDefault="00146875" w:rsidP="006155EA">
      <w:pPr>
        <w:pStyle w:val="2"/>
        <w:rPr>
          <w:lang w:eastAsia="ko-KR"/>
        </w:rPr>
      </w:pPr>
      <w:r>
        <w:t>4</w:t>
      </w:r>
      <w:r w:rsidR="006155EA">
        <w:t>.2</w:t>
      </w:r>
      <w:r w:rsidR="006155EA" w:rsidRPr="004D3578">
        <w:tab/>
      </w:r>
      <w:r w:rsidR="006155EA">
        <w:rPr>
          <w:lang w:eastAsia="ko-KR"/>
        </w:rPr>
        <w:t>Public safety</w:t>
      </w:r>
    </w:p>
    <w:p w14:paraId="24642B97" w14:textId="77777777"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[3] and [7]. TS 22.261 [3] provides numerical positioning requirements for the “1st responders” use case in Table B.1-1 </w:t>
      </w:r>
      <w:r>
        <w:rPr>
          <w:rFonts w:eastAsia="맑은 고딕" w:hint="eastAsia"/>
        </w:rPr>
        <w:t xml:space="preserve">in </w:t>
      </w:r>
      <w:r>
        <w:rPr>
          <w:rFonts w:eastAsia="맑은 고딕"/>
        </w:rPr>
        <w:t xml:space="preserve">[3]; 1 m horizontal accuracy, 2 m (absolute) or 0.3 m (relative) vertical accuracy, 95 – 98 % positioning service availability. </w:t>
      </w:r>
      <w:r w:rsidRPr="00BE4BC4">
        <w:rPr>
          <w:rFonts w:eastAsia="맑은 고딕"/>
        </w:rPr>
        <w:t>TS 22.280 [6]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13" w:name="_Toc50023311"/>
      <w:r>
        <w:t>5</w:t>
      </w:r>
      <w:r w:rsidR="00080512" w:rsidRPr="004D3578">
        <w:tab/>
      </w:r>
      <w:r w:rsidR="00356255">
        <w:t>P</w:t>
      </w:r>
      <w:r w:rsidR="00356255" w:rsidRPr="00356255">
        <w:t>otential deployment and operation scenarios</w:t>
      </w:r>
      <w:bookmarkEnd w:id="13"/>
    </w:p>
    <w:p w14:paraId="791315B7" w14:textId="77777777" w:rsidR="00E7772B" w:rsidRPr="00146875" w:rsidRDefault="00E7772B" w:rsidP="00356255"/>
    <w:p w14:paraId="6C34F9F9" w14:textId="77777777" w:rsidR="003058C9" w:rsidRPr="00E7772B" w:rsidRDefault="003058C9" w:rsidP="00356255"/>
    <w:p w14:paraId="4766C642" w14:textId="77777777" w:rsidR="00356255" w:rsidRDefault="00146875" w:rsidP="00356255">
      <w:pPr>
        <w:pStyle w:val="1"/>
      </w:pPr>
      <w:bookmarkStart w:id="14" w:name="_Toc50023312"/>
      <w:r>
        <w:t>6</w:t>
      </w:r>
      <w:r w:rsidR="00E276DB">
        <w:tab/>
      </w:r>
      <w:r w:rsidR="00356255">
        <w:t>Conclusions</w:t>
      </w:r>
      <w:bookmarkStart w:id="15" w:name="historyclause"/>
      <w:bookmarkEnd w:id="14"/>
    </w:p>
    <w:p w14:paraId="4CD0B51B" w14:textId="77777777" w:rsidR="00356255" w:rsidRPr="00122DB8" w:rsidRDefault="00356255" w:rsidP="00356255"/>
    <w:p w14:paraId="7DC0B28F" w14:textId="77777777" w:rsidR="00122DB8" w:rsidRPr="00356255" w:rsidRDefault="00122DB8" w:rsidP="00356255">
      <w:pPr>
        <w:rPr>
          <w:i/>
        </w:rPr>
      </w:pPr>
    </w:p>
    <w:p w14:paraId="648F0B69" w14:textId="77777777" w:rsidR="00557869" w:rsidRDefault="00080512" w:rsidP="00356255">
      <w:pPr>
        <w:pStyle w:val="1"/>
        <w:ind w:left="0" w:firstLine="0"/>
      </w:pPr>
      <w:r w:rsidRPr="004D3578">
        <w:br w:type="page"/>
      </w:r>
      <w:bookmarkStart w:id="16" w:name="_Toc50023313"/>
    </w:p>
    <w:p w14:paraId="5EB5B7E6" w14:textId="77777777" w:rsidR="00557869" w:rsidRPr="00557869" w:rsidRDefault="00557869" w:rsidP="00557869">
      <w:pPr>
        <w:keepNext/>
        <w:keepLines/>
        <w:pBdr>
          <w:top w:val="single" w:sz="12" w:space="3" w:color="auto"/>
        </w:pBdr>
        <w:overflowPunct w:val="0"/>
        <w:autoSpaceDE w:val="0"/>
        <w:autoSpaceDN w:val="0"/>
        <w:adjustRightInd w:val="0"/>
        <w:spacing w:before="240"/>
        <w:textAlignment w:val="baseline"/>
        <w:outlineLvl w:val="0"/>
        <w:rPr>
          <w:rFonts w:ascii="Arial" w:eastAsia="바탕" w:hAnsi="Arial"/>
          <w:sz w:val="36"/>
        </w:rPr>
      </w:pPr>
      <w:r w:rsidRPr="00557869">
        <w:rPr>
          <w:rFonts w:ascii="Arial" w:eastAsia="바탕" w:hAnsi="Arial"/>
          <w:sz w:val="36"/>
        </w:rPr>
        <w:lastRenderedPageBreak/>
        <w:t xml:space="preserve">Annex </w:t>
      </w:r>
      <w:r w:rsidRPr="00557869">
        <w:rPr>
          <w:rFonts w:ascii="Arial" w:eastAsia="바탕" w:hAnsi="Arial" w:hint="eastAsia"/>
          <w:sz w:val="36"/>
          <w:lang w:eastAsia="ko-KR"/>
        </w:rPr>
        <w:t>A</w:t>
      </w:r>
      <w:proofErr w:type="gramStart"/>
      <w:r w:rsidRPr="00557869">
        <w:rPr>
          <w:rFonts w:ascii="Arial" w:eastAsia="바탕" w:hAnsi="Arial"/>
          <w:sz w:val="36"/>
        </w:rPr>
        <w:t>:</w:t>
      </w:r>
      <w:proofErr w:type="gramEnd"/>
      <w:r w:rsidRPr="00557869">
        <w:rPr>
          <w:rFonts w:ascii="Arial" w:eastAsia="바탕" w:hAnsi="Arial"/>
          <w:sz w:val="36"/>
        </w:rPr>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119553C9" w14:textId="77777777" w:rsidR="004937D4" w:rsidRPr="004937D4" w:rsidRDefault="004937D4" w:rsidP="004937D4">
      <w:pPr>
        <w:rPr>
          <w:rFonts w:eastAsia="맑은 고딕"/>
          <w:noProof/>
        </w:rPr>
      </w:pPr>
      <w:r w:rsidRPr="004937D4">
        <w:rPr>
          <w:rFonts w:eastAsia="맑은 고딕"/>
          <w:noProof/>
        </w:rPr>
        <w:t>The 5G system shall be able to provide positioning services with the performance requirements reported in Table 7.3.2.2-1.</w:t>
      </w:r>
    </w:p>
    <w:p w14:paraId="28BC0316" w14:textId="77777777" w:rsidR="004937D4" w:rsidRPr="004937D4" w:rsidRDefault="004937D4" w:rsidP="004937D4">
      <w:pPr>
        <w:rPr>
          <w:rFonts w:eastAsia="맑은 고딕"/>
          <w:kern w:val="2"/>
          <w:sz w:val="28"/>
          <w:szCs w:val="28"/>
          <w:u w:val="single"/>
          <w:lang w:val="en-US" w:eastAsia="ko-KR"/>
        </w:rPr>
      </w:pPr>
      <w:r w:rsidRPr="004937D4">
        <w:rPr>
          <w:rFonts w:eastAsia="맑은 고딕"/>
          <w:noProof/>
        </w:rPr>
        <w:t xml:space="preserve">NOTE: </w:t>
      </w:r>
      <w:r w:rsidRPr="004937D4">
        <w:rPr>
          <w:rFonts w:eastAsia="맑은 고딕"/>
          <w:noProof/>
        </w:rPr>
        <w:tab/>
        <w:t>The requirements do not preclude any type of UE, including specific UE such as for example V2X, MTC.</w:t>
      </w:r>
    </w:p>
    <w:p w14:paraId="4FCF3E41" w14:textId="77777777" w:rsidR="004937D4" w:rsidRPr="004937D4" w:rsidRDefault="004937D4" w:rsidP="004937D4">
      <w:pPr>
        <w:keepNext/>
        <w:keepLines/>
        <w:spacing w:before="60" w:after="120"/>
        <w:jc w:val="center"/>
        <w:rPr>
          <w:rFonts w:ascii="Arial" w:eastAsia="MS Mincho" w:hAnsi="Arial"/>
          <w:b/>
          <w:noProof/>
        </w:rPr>
      </w:pPr>
      <w:r w:rsidRPr="004937D4">
        <w:rPr>
          <w:rFonts w:ascii="Arial" w:eastAsia="MS Mincho" w:hAnsi="Arial"/>
          <w:b/>
          <w:noProof/>
        </w:rPr>
        <w:lastRenderedPageBreak/>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4937D4" w14:paraId="3AA5CC8A" w14:textId="77777777" w:rsidTr="00C032CA">
        <w:trPr>
          <w:cantSplit/>
          <w:trHeight w:val="981"/>
        </w:trPr>
        <w:tc>
          <w:tcPr>
            <w:tcW w:w="392" w:type="dxa"/>
            <w:vMerge w:val="restart"/>
            <w:shd w:val="clear" w:color="auto" w:fill="D9D9D9"/>
            <w:textDirection w:val="btLr"/>
            <w:vAlign w:val="center"/>
          </w:tcPr>
          <w:p w14:paraId="5C942698"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lastRenderedPageBreak/>
              <w:t>Positioning service level</w:t>
            </w:r>
          </w:p>
        </w:tc>
        <w:tc>
          <w:tcPr>
            <w:tcW w:w="567" w:type="dxa"/>
            <w:vMerge w:val="restart"/>
            <w:shd w:val="clear" w:color="auto" w:fill="D9D9D9"/>
            <w:textDirection w:val="btLr"/>
            <w:vAlign w:val="center"/>
          </w:tcPr>
          <w:p w14:paraId="3A996D09"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Absolute(A) or Relative(R) positioning</w:t>
            </w:r>
          </w:p>
        </w:tc>
        <w:tc>
          <w:tcPr>
            <w:tcW w:w="1417" w:type="dxa"/>
            <w:gridSpan w:val="2"/>
            <w:shd w:val="clear" w:color="auto" w:fill="D9D9D9"/>
            <w:vAlign w:val="center"/>
          </w:tcPr>
          <w:p w14:paraId="2AF8C79D"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 xml:space="preserve">Accuracy </w:t>
            </w:r>
          </w:p>
          <w:p w14:paraId="250EA79B"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(95 % confidence level)</w:t>
            </w:r>
          </w:p>
        </w:tc>
        <w:tc>
          <w:tcPr>
            <w:tcW w:w="1134" w:type="dxa"/>
            <w:vMerge w:val="restart"/>
            <w:shd w:val="clear" w:color="auto" w:fill="D9D9D9"/>
            <w:vAlign w:val="center"/>
          </w:tcPr>
          <w:p w14:paraId="3E40A96B"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Positioning service availability</w:t>
            </w:r>
          </w:p>
        </w:tc>
        <w:tc>
          <w:tcPr>
            <w:tcW w:w="851" w:type="dxa"/>
            <w:vMerge w:val="restart"/>
            <w:shd w:val="clear" w:color="auto" w:fill="D9D9D9"/>
            <w:vAlign w:val="center"/>
          </w:tcPr>
          <w:p w14:paraId="51B04BFB"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MS Mincho" w:hAnsi="Arial"/>
                <w:b/>
                <w:sz w:val="16"/>
              </w:rPr>
              <w:t xml:space="preserve">Positioning service </w:t>
            </w:r>
            <w:r w:rsidRPr="004937D4">
              <w:rPr>
                <w:rFonts w:ascii="Arial" w:eastAsia="Calibri" w:hAnsi="Arial"/>
                <w:b/>
                <w:bCs/>
                <w:sz w:val="16"/>
              </w:rPr>
              <w:t>latency</w:t>
            </w:r>
            <w:r w:rsidRPr="004937D4">
              <w:rPr>
                <w:rFonts w:ascii="Arial" w:eastAsia="MS Mincho" w:hAnsi="Arial"/>
                <w:b/>
                <w:sz w:val="16"/>
              </w:rPr>
              <w:t xml:space="preserve"> </w:t>
            </w:r>
          </w:p>
        </w:tc>
        <w:tc>
          <w:tcPr>
            <w:tcW w:w="5132" w:type="dxa"/>
            <w:gridSpan w:val="3"/>
            <w:shd w:val="clear" w:color="auto" w:fill="D9D9D9"/>
            <w:vAlign w:val="center"/>
          </w:tcPr>
          <w:p w14:paraId="735FBB6A"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 xml:space="preserve">Coverage, environment of use and UE velocity </w:t>
            </w:r>
          </w:p>
        </w:tc>
      </w:tr>
      <w:tr w:rsidR="004937D4" w:rsidRPr="004937D4" w14:paraId="4D8E0C92" w14:textId="77777777" w:rsidTr="00C032CA">
        <w:trPr>
          <w:cantSplit/>
          <w:trHeight w:val="645"/>
        </w:trPr>
        <w:tc>
          <w:tcPr>
            <w:tcW w:w="392" w:type="dxa"/>
            <w:vMerge/>
            <w:shd w:val="clear" w:color="auto" w:fill="D9D9D9"/>
            <w:vAlign w:val="center"/>
          </w:tcPr>
          <w:p w14:paraId="05A4ADDE" w14:textId="77777777" w:rsidR="004937D4" w:rsidRPr="004937D4" w:rsidRDefault="004937D4" w:rsidP="004937D4">
            <w:pPr>
              <w:keepNext/>
              <w:keepLines/>
              <w:spacing w:after="0"/>
              <w:jc w:val="center"/>
              <w:rPr>
                <w:rFonts w:ascii="Arial" w:eastAsia="Calibri" w:hAnsi="Arial"/>
                <w:b/>
                <w:bCs/>
                <w:sz w:val="16"/>
              </w:rPr>
            </w:pPr>
          </w:p>
        </w:tc>
        <w:tc>
          <w:tcPr>
            <w:tcW w:w="567" w:type="dxa"/>
            <w:vMerge/>
            <w:shd w:val="clear" w:color="auto" w:fill="D9D9D9"/>
            <w:vAlign w:val="center"/>
          </w:tcPr>
          <w:p w14:paraId="19AEC80F" w14:textId="77777777" w:rsidR="004937D4" w:rsidRPr="004937D4" w:rsidRDefault="004937D4" w:rsidP="004937D4">
            <w:pPr>
              <w:keepNext/>
              <w:keepLines/>
              <w:spacing w:after="0"/>
              <w:jc w:val="center"/>
              <w:rPr>
                <w:rFonts w:ascii="Arial" w:eastAsia="Calibri" w:hAnsi="Arial"/>
                <w:b/>
                <w:bCs/>
                <w:sz w:val="16"/>
              </w:rPr>
            </w:pPr>
          </w:p>
        </w:tc>
        <w:tc>
          <w:tcPr>
            <w:tcW w:w="708" w:type="dxa"/>
            <w:vMerge w:val="restart"/>
            <w:shd w:val="clear" w:color="auto" w:fill="D9D9D9"/>
            <w:textDirection w:val="btLr"/>
            <w:vAlign w:val="center"/>
          </w:tcPr>
          <w:p w14:paraId="613DB9F2"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 xml:space="preserve">Horizontal Accuracy </w:t>
            </w:r>
          </w:p>
          <w:p w14:paraId="1813523B" w14:textId="77777777" w:rsidR="004937D4" w:rsidRPr="004937D4" w:rsidRDefault="004937D4" w:rsidP="004937D4">
            <w:pPr>
              <w:keepNext/>
              <w:keepLines/>
              <w:spacing w:after="0"/>
              <w:jc w:val="center"/>
              <w:rPr>
                <w:rFonts w:ascii="Arial" w:eastAsia="Calibri" w:hAnsi="Arial"/>
                <w:b/>
                <w:bCs/>
                <w:sz w:val="16"/>
              </w:rPr>
            </w:pPr>
          </w:p>
        </w:tc>
        <w:tc>
          <w:tcPr>
            <w:tcW w:w="709" w:type="dxa"/>
            <w:vMerge w:val="restart"/>
            <w:shd w:val="clear" w:color="auto" w:fill="D9D9D9"/>
            <w:textDirection w:val="btLr"/>
            <w:vAlign w:val="center"/>
          </w:tcPr>
          <w:p w14:paraId="384668B1"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Vertical Accuracy</w:t>
            </w:r>
          </w:p>
          <w:p w14:paraId="002B1E2E"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(note 1)</w:t>
            </w:r>
          </w:p>
        </w:tc>
        <w:tc>
          <w:tcPr>
            <w:tcW w:w="1134" w:type="dxa"/>
            <w:vMerge/>
            <w:shd w:val="clear" w:color="auto" w:fill="D9D9D9"/>
            <w:vAlign w:val="center"/>
          </w:tcPr>
          <w:p w14:paraId="11316FF4" w14:textId="77777777" w:rsidR="004937D4" w:rsidRPr="004937D4" w:rsidRDefault="004937D4" w:rsidP="004937D4">
            <w:pPr>
              <w:keepNext/>
              <w:keepLines/>
              <w:spacing w:after="0"/>
              <w:jc w:val="center"/>
              <w:rPr>
                <w:rFonts w:ascii="Arial" w:eastAsia="Calibri" w:hAnsi="Arial"/>
                <w:b/>
                <w:bCs/>
                <w:sz w:val="16"/>
              </w:rPr>
            </w:pPr>
          </w:p>
        </w:tc>
        <w:tc>
          <w:tcPr>
            <w:tcW w:w="851" w:type="dxa"/>
            <w:vMerge/>
            <w:shd w:val="clear" w:color="auto" w:fill="D9D9D9"/>
            <w:vAlign w:val="center"/>
          </w:tcPr>
          <w:p w14:paraId="30A0A1AF" w14:textId="77777777" w:rsidR="004937D4" w:rsidRPr="004937D4" w:rsidRDefault="004937D4" w:rsidP="004937D4">
            <w:pPr>
              <w:keepNext/>
              <w:keepLines/>
              <w:spacing w:after="0"/>
              <w:jc w:val="center"/>
              <w:rPr>
                <w:rFonts w:ascii="Arial" w:eastAsia="Calibri" w:hAnsi="Arial"/>
                <w:b/>
                <w:bCs/>
                <w:sz w:val="16"/>
              </w:rPr>
            </w:pPr>
          </w:p>
        </w:tc>
        <w:tc>
          <w:tcPr>
            <w:tcW w:w="1710" w:type="dxa"/>
            <w:vMerge w:val="restart"/>
            <w:shd w:val="clear" w:color="auto" w:fill="D9D9D9"/>
            <w:vAlign w:val="center"/>
          </w:tcPr>
          <w:p w14:paraId="1D6787B5"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5G positioning  service area</w:t>
            </w:r>
          </w:p>
        </w:tc>
        <w:tc>
          <w:tcPr>
            <w:tcW w:w="3422" w:type="dxa"/>
            <w:gridSpan w:val="2"/>
            <w:shd w:val="clear" w:color="auto" w:fill="D9D9D9"/>
            <w:vAlign w:val="center"/>
          </w:tcPr>
          <w:p w14:paraId="27CDDB3C"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5G enhanced positioning service area</w:t>
            </w:r>
          </w:p>
          <w:p w14:paraId="1F605448"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(note 2)</w:t>
            </w:r>
          </w:p>
        </w:tc>
      </w:tr>
      <w:tr w:rsidR="004937D4" w:rsidRPr="004937D4" w14:paraId="1C33CF62" w14:textId="77777777" w:rsidTr="00C032CA">
        <w:trPr>
          <w:cantSplit/>
          <w:trHeight w:val="645"/>
        </w:trPr>
        <w:tc>
          <w:tcPr>
            <w:tcW w:w="392" w:type="dxa"/>
            <w:vMerge/>
            <w:shd w:val="clear" w:color="auto" w:fill="D9D9D9"/>
            <w:vAlign w:val="center"/>
          </w:tcPr>
          <w:p w14:paraId="5D8522A4" w14:textId="77777777" w:rsidR="004937D4" w:rsidRPr="004937D4" w:rsidRDefault="004937D4" w:rsidP="004937D4">
            <w:pPr>
              <w:keepNext/>
              <w:keepLines/>
              <w:spacing w:after="0"/>
              <w:jc w:val="center"/>
              <w:rPr>
                <w:rFonts w:ascii="Arial" w:eastAsia="Calibri" w:hAnsi="Arial"/>
                <w:b/>
                <w:bCs/>
                <w:sz w:val="16"/>
              </w:rPr>
            </w:pPr>
          </w:p>
        </w:tc>
        <w:tc>
          <w:tcPr>
            <w:tcW w:w="567" w:type="dxa"/>
            <w:vMerge/>
            <w:shd w:val="clear" w:color="auto" w:fill="D9D9D9"/>
            <w:vAlign w:val="center"/>
          </w:tcPr>
          <w:p w14:paraId="578ED31B" w14:textId="77777777" w:rsidR="004937D4" w:rsidRPr="004937D4" w:rsidRDefault="004937D4" w:rsidP="004937D4">
            <w:pPr>
              <w:keepNext/>
              <w:keepLines/>
              <w:spacing w:after="0"/>
              <w:jc w:val="center"/>
              <w:rPr>
                <w:rFonts w:ascii="Arial" w:eastAsia="Calibri" w:hAnsi="Arial"/>
                <w:b/>
                <w:bCs/>
                <w:sz w:val="16"/>
              </w:rPr>
            </w:pPr>
          </w:p>
        </w:tc>
        <w:tc>
          <w:tcPr>
            <w:tcW w:w="708" w:type="dxa"/>
            <w:vMerge/>
            <w:shd w:val="clear" w:color="auto" w:fill="D9D9D9"/>
            <w:textDirection w:val="btLr"/>
            <w:vAlign w:val="center"/>
          </w:tcPr>
          <w:p w14:paraId="1D45915F" w14:textId="77777777" w:rsidR="004937D4" w:rsidRPr="004937D4" w:rsidRDefault="004937D4" w:rsidP="004937D4">
            <w:pPr>
              <w:keepNext/>
              <w:keepLines/>
              <w:spacing w:after="0"/>
              <w:jc w:val="center"/>
              <w:rPr>
                <w:rFonts w:ascii="Arial" w:eastAsia="Calibri" w:hAnsi="Arial"/>
                <w:b/>
                <w:bCs/>
                <w:sz w:val="16"/>
              </w:rPr>
            </w:pPr>
          </w:p>
        </w:tc>
        <w:tc>
          <w:tcPr>
            <w:tcW w:w="709" w:type="dxa"/>
            <w:vMerge/>
            <w:shd w:val="clear" w:color="auto" w:fill="D9D9D9"/>
            <w:textDirection w:val="btLr"/>
            <w:vAlign w:val="center"/>
          </w:tcPr>
          <w:p w14:paraId="10E6A5D5" w14:textId="77777777" w:rsidR="004937D4" w:rsidRPr="004937D4" w:rsidRDefault="004937D4" w:rsidP="004937D4">
            <w:pPr>
              <w:keepNext/>
              <w:keepLines/>
              <w:spacing w:after="0"/>
              <w:jc w:val="center"/>
              <w:rPr>
                <w:rFonts w:ascii="Arial" w:eastAsia="Calibri" w:hAnsi="Arial"/>
                <w:b/>
                <w:bCs/>
                <w:sz w:val="16"/>
              </w:rPr>
            </w:pPr>
          </w:p>
        </w:tc>
        <w:tc>
          <w:tcPr>
            <w:tcW w:w="1134" w:type="dxa"/>
            <w:vMerge/>
            <w:shd w:val="clear" w:color="auto" w:fill="D9D9D9"/>
            <w:vAlign w:val="center"/>
          </w:tcPr>
          <w:p w14:paraId="7B749851" w14:textId="77777777" w:rsidR="004937D4" w:rsidRPr="004937D4" w:rsidRDefault="004937D4" w:rsidP="004937D4">
            <w:pPr>
              <w:keepNext/>
              <w:keepLines/>
              <w:spacing w:after="0"/>
              <w:jc w:val="center"/>
              <w:rPr>
                <w:rFonts w:ascii="Arial" w:eastAsia="Calibri" w:hAnsi="Arial"/>
                <w:b/>
                <w:bCs/>
                <w:sz w:val="16"/>
              </w:rPr>
            </w:pPr>
          </w:p>
        </w:tc>
        <w:tc>
          <w:tcPr>
            <w:tcW w:w="851" w:type="dxa"/>
            <w:vMerge/>
            <w:shd w:val="clear" w:color="auto" w:fill="D9D9D9"/>
            <w:vAlign w:val="center"/>
          </w:tcPr>
          <w:p w14:paraId="4304679E" w14:textId="77777777" w:rsidR="004937D4" w:rsidRPr="004937D4" w:rsidRDefault="004937D4" w:rsidP="004937D4">
            <w:pPr>
              <w:keepNext/>
              <w:keepLines/>
              <w:spacing w:after="0"/>
              <w:jc w:val="center"/>
              <w:rPr>
                <w:rFonts w:ascii="Arial" w:eastAsia="Calibri" w:hAnsi="Arial"/>
                <w:b/>
                <w:bCs/>
                <w:sz w:val="16"/>
              </w:rPr>
            </w:pPr>
          </w:p>
        </w:tc>
        <w:tc>
          <w:tcPr>
            <w:tcW w:w="1710" w:type="dxa"/>
            <w:vMerge/>
            <w:shd w:val="clear" w:color="auto" w:fill="D9D9D9"/>
            <w:vAlign w:val="center"/>
          </w:tcPr>
          <w:p w14:paraId="1B07EC8C" w14:textId="77777777" w:rsidR="004937D4" w:rsidRPr="004937D4" w:rsidRDefault="004937D4" w:rsidP="004937D4">
            <w:pPr>
              <w:keepNext/>
              <w:keepLines/>
              <w:spacing w:after="0"/>
              <w:jc w:val="center"/>
              <w:rPr>
                <w:rFonts w:ascii="Arial" w:eastAsia="Calibri" w:hAnsi="Arial"/>
                <w:b/>
                <w:bCs/>
                <w:sz w:val="16"/>
              </w:rPr>
            </w:pPr>
          </w:p>
        </w:tc>
        <w:tc>
          <w:tcPr>
            <w:tcW w:w="1711" w:type="dxa"/>
            <w:shd w:val="clear" w:color="auto" w:fill="D9D9D9"/>
            <w:vAlign w:val="center"/>
          </w:tcPr>
          <w:p w14:paraId="1A0A69AA"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Outdoor and tunnels</w:t>
            </w:r>
          </w:p>
        </w:tc>
        <w:tc>
          <w:tcPr>
            <w:tcW w:w="1711" w:type="dxa"/>
            <w:shd w:val="clear" w:color="auto" w:fill="D9D9D9"/>
            <w:vAlign w:val="center"/>
          </w:tcPr>
          <w:p w14:paraId="1C845815" w14:textId="77777777" w:rsidR="004937D4" w:rsidRPr="004937D4" w:rsidRDefault="004937D4" w:rsidP="004937D4">
            <w:pPr>
              <w:keepNext/>
              <w:keepLines/>
              <w:spacing w:after="0"/>
              <w:jc w:val="center"/>
              <w:rPr>
                <w:rFonts w:ascii="Arial" w:eastAsia="Calibri" w:hAnsi="Arial"/>
                <w:b/>
                <w:bCs/>
                <w:sz w:val="16"/>
              </w:rPr>
            </w:pPr>
            <w:r w:rsidRPr="004937D4">
              <w:rPr>
                <w:rFonts w:ascii="Arial" w:eastAsia="Calibri" w:hAnsi="Arial"/>
                <w:b/>
                <w:bCs/>
                <w:sz w:val="16"/>
              </w:rPr>
              <w:t>Indoor</w:t>
            </w:r>
          </w:p>
        </w:tc>
      </w:tr>
      <w:tr w:rsidR="004937D4" w:rsidRPr="004937D4" w14:paraId="76514C0E" w14:textId="77777777" w:rsidTr="00C032CA">
        <w:trPr>
          <w:trHeight w:val="736"/>
        </w:trPr>
        <w:tc>
          <w:tcPr>
            <w:tcW w:w="392" w:type="dxa"/>
            <w:vAlign w:val="center"/>
          </w:tcPr>
          <w:p w14:paraId="0AA7AD75"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w:t>
            </w:r>
          </w:p>
        </w:tc>
        <w:tc>
          <w:tcPr>
            <w:tcW w:w="567" w:type="dxa"/>
            <w:vAlign w:val="center"/>
          </w:tcPr>
          <w:p w14:paraId="5DB62696"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w:t>
            </w:r>
          </w:p>
        </w:tc>
        <w:tc>
          <w:tcPr>
            <w:tcW w:w="708" w:type="dxa"/>
            <w:vAlign w:val="center"/>
          </w:tcPr>
          <w:p w14:paraId="2FF33477"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10 m</w:t>
            </w:r>
          </w:p>
        </w:tc>
        <w:tc>
          <w:tcPr>
            <w:tcW w:w="709" w:type="dxa"/>
            <w:vAlign w:val="center"/>
          </w:tcPr>
          <w:p w14:paraId="20308942"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3 m</w:t>
            </w:r>
          </w:p>
        </w:tc>
        <w:tc>
          <w:tcPr>
            <w:tcW w:w="1134" w:type="dxa"/>
            <w:vAlign w:val="center"/>
          </w:tcPr>
          <w:p w14:paraId="010E5C28"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95 %</w:t>
            </w:r>
          </w:p>
        </w:tc>
        <w:tc>
          <w:tcPr>
            <w:tcW w:w="851" w:type="dxa"/>
            <w:vAlign w:val="center"/>
          </w:tcPr>
          <w:p w14:paraId="1EF22055"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 s</w:t>
            </w:r>
          </w:p>
        </w:tc>
        <w:tc>
          <w:tcPr>
            <w:tcW w:w="1710" w:type="dxa"/>
            <w:vAlign w:val="center"/>
          </w:tcPr>
          <w:p w14:paraId="49CF2064"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 up to 30 km/h</w:t>
            </w:r>
          </w:p>
          <w:p w14:paraId="2A1A748F" w14:textId="77777777" w:rsidR="004937D4" w:rsidRPr="004937D4" w:rsidRDefault="004937D4" w:rsidP="004937D4">
            <w:pPr>
              <w:keepNext/>
              <w:keepLines/>
              <w:spacing w:before="120" w:after="0"/>
              <w:jc w:val="center"/>
              <w:rPr>
                <w:rFonts w:ascii="Arial" w:eastAsia="Calibri" w:hAnsi="Arial"/>
                <w:sz w:val="18"/>
                <w:szCs w:val="16"/>
              </w:rPr>
            </w:pPr>
          </w:p>
          <w:p w14:paraId="53F65409"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2C02BF0D"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(rural and urban) up to 250 km/h</w:t>
            </w:r>
          </w:p>
          <w:p w14:paraId="00683124" w14:textId="77777777" w:rsidR="004937D4" w:rsidRPr="004937D4" w:rsidRDefault="004937D4" w:rsidP="004937D4">
            <w:pPr>
              <w:keepNext/>
              <w:keepLines/>
              <w:spacing w:before="120" w:after="0"/>
              <w:jc w:val="center"/>
              <w:rPr>
                <w:rFonts w:ascii="Arial" w:eastAsia="Calibri" w:hAnsi="Arial"/>
                <w:sz w:val="18"/>
                <w:szCs w:val="16"/>
              </w:rPr>
            </w:pPr>
          </w:p>
        </w:tc>
        <w:tc>
          <w:tcPr>
            <w:tcW w:w="1711" w:type="dxa"/>
            <w:shd w:val="clear" w:color="auto" w:fill="auto"/>
            <w:vAlign w:val="center"/>
          </w:tcPr>
          <w:p w14:paraId="3831D645"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NA</w:t>
            </w:r>
          </w:p>
        </w:tc>
        <w:tc>
          <w:tcPr>
            <w:tcW w:w="1711" w:type="dxa"/>
            <w:shd w:val="clear" w:color="auto" w:fill="auto"/>
            <w:vAlign w:val="center"/>
          </w:tcPr>
          <w:p w14:paraId="6AF5E4A4"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 up to 30 km/h</w:t>
            </w:r>
          </w:p>
        </w:tc>
      </w:tr>
      <w:tr w:rsidR="004937D4" w:rsidRPr="004937D4" w14:paraId="624BCE26" w14:textId="77777777" w:rsidTr="00C032CA">
        <w:trPr>
          <w:trHeight w:val="736"/>
        </w:trPr>
        <w:tc>
          <w:tcPr>
            <w:tcW w:w="392" w:type="dxa"/>
            <w:vAlign w:val="center"/>
          </w:tcPr>
          <w:p w14:paraId="27DFA541"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2</w:t>
            </w:r>
          </w:p>
        </w:tc>
        <w:tc>
          <w:tcPr>
            <w:tcW w:w="567" w:type="dxa"/>
            <w:vAlign w:val="center"/>
          </w:tcPr>
          <w:p w14:paraId="49D3854E"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w:t>
            </w:r>
          </w:p>
        </w:tc>
        <w:tc>
          <w:tcPr>
            <w:tcW w:w="708" w:type="dxa"/>
            <w:vAlign w:val="center"/>
          </w:tcPr>
          <w:p w14:paraId="52ADE13E"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3 m</w:t>
            </w:r>
          </w:p>
        </w:tc>
        <w:tc>
          <w:tcPr>
            <w:tcW w:w="709" w:type="dxa"/>
            <w:vAlign w:val="center"/>
          </w:tcPr>
          <w:p w14:paraId="73A6F48B"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3 m</w:t>
            </w:r>
          </w:p>
        </w:tc>
        <w:tc>
          <w:tcPr>
            <w:tcW w:w="1134" w:type="dxa"/>
            <w:vAlign w:val="center"/>
          </w:tcPr>
          <w:p w14:paraId="67005D59"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99 %</w:t>
            </w:r>
          </w:p>
        </w:tc>
        <w:tc>
          <w:tcPr>
            <w:tcW w:w="851" w:type="dxa"/>
            <w:vAlign w:val="center"/>
          </w:tcPr>
          <w:p w14:paraId="140A0C0E"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 s</w:t>
            </w:r>
          </w:p>
        </w:tc>
        <w:tc>
          <w:tcPr>
            <w:tcW w:w="1710" w:type="dxa"/>
            <w:vAlign w:val="center"/>
          </w:tcPr>
          <w:p w14:paraId="607D3E10"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3FC2E8DE"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(rural and urban) up to 500 km/h for trains and up to 250 km/h for other vehicles</w:t>
            </w:r>
          </w:p>
        </w:tc>
        <w:tc>
          <w:tcPr>
            <w:tcW w:w="1711" w:type="dxa"/>
            <w:shd w:val="clear" w:color="auto" w:fill="auto"/>
            <w:vAlign w:val="center"/>
          </w:tcPr>
          <w:p w14:paraId="336C6C8F"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618D709B"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(dense urban) up to 60 km/h</w:t>
            </w:r>
          </w:p>
          <w:p w14:paraId="0A25CF2A" w14:textId="77777777" w:rsidR="004937D4" w:rsidRPr="004937D4" w:rsidRDefault="004937D4" w:rsidP="004937D4">
            <w:pPr>
              <w:keepNext/>
              <w:keepLines/>
              <w:spacing w:before="120" w:after="0"/>
              <w:rPr>
                <w:rFonts w:ascii="Arial" w:eastAsia="Calibri" w:hAnsi="Arial"/>
                <w:sz w:val="18"/>
                <w:szCs w:val="16"/>
              </w:rPr>
            </w:pPr>
          </w:p>
          <w:p w14:paraId="67894477"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Along roads up to 250 km/h and along railways up to 500 km/h</w:t>
            </w:r>
          </w:p>
        </w:tc>
        <w:tc>
          <w:tcPr>
            <w:tcW w:w="1711" w:type="dxa"/>
            <w:shd w:val="clear" w:color="auto" w:fill="auto"/>
            <w:vAlign w:val="center"/>
          </w:tcPr>
          <w:p w14:paraId="18146AA4"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 up to 30 km/h</w:t>
            </w:r>
          </w:p>
        </w:tc>
      </w:tr>
      <w:tr w:rsidR="004937D4" w:rsidRPr="004937D4" w14:paraId="221E0708" w14:textId="77777777" w:rsidTr="00C032CA">
        <w:trPr>
          <w:trHeight w:val="736"/>
        </w:trPr>
        <w:tc>
          <w:tcPr>
            <w:tcW w:w="392" w:type="dxa"/>
            <w:vAlign w:val="center"/>
          </w:tcPr>
          <w:p w14:paraId="113066F8"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3</w:t>
            </w:r>
          </w:p>
        </w:tc>
        <w:tc>
          <w:tcPr>
            <w:tcW w:w="567" w:type="dxa"/>
            <w:vAlign w:val="center"/>
          </w:tcPr>
          <w:p w14:paraId="08EADF6F"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w:t>
            </w:r>
          </w:p>
        </w:tc>
        <w:tc>
          <w:tcPr>
            <w:tcW w:w="708" w:type="dxa"/>
            <w:vAlign w:val="center"/>
          </w:tcPr>
          <w:p w14:paraId="358A66A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 m</w:t>
            </w:r>
          </w:p>
        </w:tc>
        <w:tc>
          <w:tcPr>
            <w:tcW w:w="709" w:type="dxa"/>
            <w:vAlign w:val="center"/>
          </w:tcPr>
          <w:p w14:paraId="19914A39"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2 m</w:t>
            </w:r>
          </w:p>
        </w:tc>
        <w:tc>
          <w:tcPr>
            <w:tcW w:w="1134" w:type="dxa"/>
            <w:vAlign w:val="center"/>
          </w:tcPr>
          <w:p w14:paraId="75D9249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99 %</w:t>
            </w:r>
          </w:p>
        </w:tc>
        <w:tc>
          <w:tcPr>
            <w:tcW w:w="851" w:type="dxa"/>
            <w:vAlign w:val="center"/>
          </w:tcPr>
          <w:p w14:paraId="265E151E"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 s</w:t>
            </w:r>
          </w:p>
        </w:tc>
        <w:tc>
          <w:tcPr>
            <w:tcW w:w="1710" w:type="dxa"/>
            <w:vAlign w:val="center"/>
          </w:tcPr>
          <w:p w14:paraId="025CEC68"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41E5F05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(rural and urban) up to 500 km/h for trains and up to 250 km/h for other vehicles</w:t>
            </w:r>
          </w:p>
        </w:tc>
        <w:tc>
          <w:tcPr>
            <w:tcW w:w="1711" w:type="dxa"/>
            <w:shd w:val="clear" w:color="auto" w:fill="auto"/>
            <w:vAlign w:val="center"/>
          </w:tcPr>
          <w:p w14:paraId="2D428ABC"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6CD11733"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(dense urban) up to 60 km/h</w:t>
            </w:r>
          </w:p>
          <w:p w14:paraId="2C73F59E" w14:textId="77777777" w:rsidR="004937D4" w:rsidRPr="004937D4" w:rsidRDefault="004937D4" w:rsidP="004937D4">
            <w:pPr>
              <w:keepNext/>
              <w:keepLines/>
              <w:spacing w:before="120" w:after="0"/>
              <w:rPr>
                <w:rFonts w:ascii="Arial" w:eastAsia="Calibri" w:hAnsi="Arial"/>
                <w:sz w:val="18"/>
                <w:szCs w:val="16"/>
              </w:rPr>
            </w:pPr>
          </w:p>
          <w:p w14:paraId="77A26C10"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Along roads up to 250 km/h and along railways up to 500 km/h</w:t>
            </w:r>
          </w:p>
        </w:tc>
        <w:tc>
          <w:tcPr>
            <w:tcW w:w="1711" w:type="dxa"/>
            <w:shd w:val="clear" w:color="auto" w:fill="auto"/>
            <w:vAlign w:val="center"/>
          </w:tcPr>
          <w:p w14:paraId="2D188E76"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 up to 30 km/h</w:t>
            </w:r>
          </w:p>
        </w:tc>
      </w:tr>
      <w:tr w:rsidR="004937D4" w:rsidRPr="004937D4" w14:paraId="7EE22176" w14:textId="77777777" w:rsidTr="00C032CA">
        <w:trPr>
          <w:trHeight w:val="736"/>
        </w:trPr>
        <w:tc>
          <w:tcPr>
            <w:tcW w:w="392" w:type="dxa"/>
            <w:vAlign w:val="center"/>
          </w:tcPr>
          <w:p w14:paraId="7500804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4</w:t>
            </w:r>
          </w:p>
        </w:tc>
        <w:tc>
          <w:tcPr>
            <w:tcW w:w="567" w:type="dxa"/>
            <w:vAlign w:val="center"/>
          </w:tcPr>
          <w:p w14:paraId="2F46948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w:t>
            </w:r>
          </w:p>
        </w:tc>
        <w:tc>
          <w:tcPr>
            <w:tcW w:w="708" w:type="dxa"/>
            <w:vAlign w:val="center"/>
          </w:tcPr>
          <w:p w14:paraId="41BD3D23"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 m</w:t>
            </w:r>
          </w:p>
        </w:tc>
        <w:tc>
          <w:tcPr>
            <w:tcW w:w="709" w:type="dxa"/>
            <w:vAlign w:val="center"/>
          </w:tcPr>
          <w:p w14:paraId="13DF3ABD"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2 m</w:t>
            </w:r>
          </w:p>
        </w:tc>
        <w:tc>
          <w:tcPr>
            <w:tcW w:w="1134" w:type="dxa"/>
            <w:vAlign w:val="center"/>
          </w:tcPr>
          <w:p w14:paraId="75DD2206"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99,9 %</w:t>
            </w:r>
          </w:p>
        </w:tc>
        <w:tc>
          <w:tcPr>
            <w:tcW w:w="851" w:type="dxa"/>
            <w:vAlign w:val="center"/>
          </w:tcPr>
          <w:p w14:paraId="3F6F3751"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15 </w:t>
            </w:r>
            <w:proofErr w:type="spellStart"/>
            <w:r w:rsidRPr="004937D4">
              <w:rPr>
                <w:rFonts w:ascii="Arial" w:eastAsia="Calibri" w:hAnsi="Arial"/>
                <w:sz w:val="18"/>
                <w:szCs w:val="16"/>
              </w:rPr>
              <w:t>ms</w:t>
            </w:r>
            <w:proofErr w:type="spellEnd"/>
          </w:p>
        </w:tc>
        <w:tc>
          <w:tcPr>
            <w:tcW w:w="1710" w:type="dxa"/>
            <w:vAlign w:val="center"/>
          </w:tcPr>
          <w:p w14:paraId="28A9F113"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NA</w:t>
            </w:r>
          </w:p>
        </w:tc>
        <w:tc>
          <w:tcPr>
            <w:tcW w:w="1711" w:type="dxa"/>
            <w:shd w:val="clear" w:color="auto" w:fill="auto"/>
            <w:vAlign w:val="center"/>
          </w:tcPr>
          <w:p w14:paraId="1A9226CB"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NA</w:t>
            </w:r>
          </w:p>
        </w:tc>
        <w:tc>
          <w:tcPr>
            <w:tcW w:w="1711" w:type="dxa"/>
            <w:shd w:val="clear" w:color="auto" w:fill="auto"/>
            <w:vAlign w:val="center"/>
          </w:tcPr>
          <w:p w14:paraId="73E6F8C2"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 up to 30 km/h</w:t>
            </w:r>
          </w:p>
        </w:tc>
      </w:tr>
      <w:tr w:rsidR="004937D4" w:rsidRPr="004937D4" w14:paraId="21338C7E" w14:textId="77777777" w:rsidTr="00C032CA">
        <w:trPr>
          <w:trHeight w:val="736"/>
        </w:trPr>
        <w:tc>
          <w:tcPr>
            <w:tcW w:w="392" w:type="dxa"/>
            <w:vAlign w:val="center"/>
          </w:tcPr>
          <w:p w14:paraId="442A96C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5</w:t>
            </w:r>
          </w:p>
        </w:tc>
        <w:tc>
          <w:tcPr>
            <w:tcW w:w="567" w:type="dxa"/>
            <w:vAlign w:val="center"/>
          </w:tcPr>
          <w:p w14:paraId="30E7A504"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w:t>
            </w:r>
          </w:p>
        </w:tc>
        <w:tc>
          <w:tcPr>
            <w:tcW w:w="708" w:type="dxa"/>
            <w:vAlign w:val="center"/>
          </w:tcPr>
          <w:p w14:paraId="41B257EE"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0,3 m</w:t>
            </w:r>
          </w:p>
        </w:tc>
        <w:tc>
          <w:tcPr>
            <w:tcW w:w="709" w:type="dxa"/>
            <w:vAlign w:val="center"/>
          </w:tcPr>
          <w:p w14:paraId="71E41841"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2 m</w:t>
            </w:r>
          </w:p>
        </w:tc>
        <w:tc>
          <w:tcPr>
            <w:tcW w:w="1134" w:type="dxa"/>
            <w:vAlign w:val="center"/>
          </w:tcPr>
          <w:p w14:paraId="56836ACD"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99 %</w:t>
            </w:r>
          </w:p>
        </w:tc>
        <w:tc>
          <w:tcPr>
            <w:tcW w:w="851" w:type="dxa"/>
            <w:vAlign w:val="center"/>
          </w:tcPr>
          <w:p w14:paraId="0AA5179D"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 s</w:t>
            </w:r>
          </w:p>
        </w:tc>
        <w:tc>
          <w:tcPr>
            <w:tcW w:w="1710" w:type="dxa"/>
            <w:vAlign w:val="center"/>
          </w:tcPr>
          <w:p w14:paraId="7A878D0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3D3AC2E0"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(rural) up to 250 km/h</w:t>
            </w:r>
          </w:p>
        </w:tc>
        <w:tc>
          <w:tcPr>
            <w:tcW w:w="1711" w:type="dxa"/>
            <w:shd w:val="clear" w:color="auto" w:fill="auto"/>
            <w:vAlign w:val="center"/>
          </w:tcPr>
          <w:p w14:paraId="1252EA2A"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11EDF81F"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(dense urban) up to 60 km/h</w:t>
            </w:r>
          </w:p>
          <w:p w14:paraId="71546CD7" w14:textId="77777777" w:rsidR="004937D4" w:rsidRPr="004937D4" w:rsidRDefault="004937D4" w:rsidP="004937D4">
            <w:pPr>
              <w:keepNext/>
              <w:keepLines/>
              <w:spacing w:before="120" w:after="0"/>
              <w:rPr>
                <w:rFonts w:ascii="Arial" w:eastAsia="Calibri" w:hAnsi="Arial"/>
                <w:sz w:val="18"/>
                <w:szCs w:val="16"/>
              </w:rPr>
            </w:pPr>
          </w:p>
          <w:p w14:paraId="4EE05B0E"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Along roads and along railways up to 250 km/h</w:t>
            </w:r>
          </w:p>
        </w:tc>
        <w:tc>
          <w:tcPr>
            <w:tcW w:w="1711" w:type="dxa"/>
            <w:shd w:val="clear" w:color="auto" w:fill="auto"/>
            <w:vAlign w:val="center"/>
          </w:tcPr>
          <w:p w14:paraId="1012181B"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 up to 30 km/h</w:t>
            </w:r>
          </w:p>
        </w:tc>
      </w:tr>
      <w:tr w:rsidR="004937D4" w:rsidRPr="004937D4" w14:paraId="1954A0B6" w14:textId="77777777" w:rsidTr="00C032CA">
        <w:trPr>
          <w:trHeight w:val="736"/>
        </w:trPr>
        <w:tc>
          <w:tcPr>
            <w:tcW w:w="392" w:type="dxa"/>
            <w:vAlign w:val="center"/>
          </w:tcPr>
          <w:p w14:paraId="51A17897"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6</w:t>
            </w:r>
          </w:p>
        </w:tc>
        <w:tc>
          <w:tcPr>
            <w:tcW w:w="567" w:type="dxa"/>
            <w:vAlign w:val="center"/>
          </w:tcPr>
          <w:p w14:paraId="3A9C2940"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A</w:t>
            </w:r>
          </w:p>
        </w:tc>
        <w:tc>
          <w:tcPr>
            <w:tcW w:w="708" w:type="dxa"/>
            <w:vAlign w:val="center"/>
          </w:tcPr>
          <w:p w14:paraId="13E74169"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0,3 m</w:t>
            </w:r>
          </w:p>
        </w:tc>
        <w:tc>
          <w:tcPr>
            <w:tcW w:w="709" w:type="dxa"/>
            <w:vAlign w:val="center"/>
          </w:tcPr>
          <w:p w14:paraId="29C525B9"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2 m</w:t>
            </w:r>
          </w:p>
        </w:tc>
        <w:tc>
          <w:tcPr>
            <w:tcW w:w="1134" w:type="dxa"/>
            <w:vAlign w:val="center"/>
          </w:tcPr>
          <w:p w14:paraId="0B44F61D"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99,9 %</w:t>
            </w:r>
          </w:p>
        </w:tc>
        <w:tc>
          <w:tcPr>
            <w:tcW w:w="851" w:type="dxa"/>
            <w:vAlign w:val="center"/>
          </w:tcPr>
          <w:p w14:paraId="6FA26A15"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10 </w:t>
            </w:r>
            <w:proofErr w:type="spellStart"/>
            <w:r w:rsidRPr="004937D4">
              <w:rPr>
                <w:rFonts w:ascii="Arial" w:eastAsia="Calibri" w:hAnsi="Arial"/>
                <w:sz w:val="18"/>
                <w:szCs w:val="16"/>
              </w:rPr>
              <w:t>ms</w:t>
            </w:r>
            <w:proofErr w:type="spellEnd"/>
          </w:p>
        </w:tc>
        <w:tc>
          <w:tcPr>
            <w:tcW w:w="1710" w:type="dxa"/>
            <w:vAlign w:val="center"/>
          </w:tcPr>
          <w:p w14:paraId="44CCA6A2"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NA</w:t>
            </w:r>
          </w:p>
        </w:tc>
        <w:tc>
          <w:tcPr>
            <w:tcW w:w="1711" w:type="dxa"/>
            <w:shd w:val="clear" w:color="auto" w:fill="auto"/>
            <w:vAlign w:val="center"/>
          </w:tcPr>
          <w:p w14:paraId="7A216A31"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 xml:space="preserve">Outdoor </w:t>
            </w:r>
          </w:p>
          <w:p w14:paraId="6EF3D5BB"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(dense urban) up to 60 km/h</w:t>
            </w:r>
          </w:p>
        </w:tc>
        <w:tc>
          <w:tcPr>
            <w:tcW w:w="1711" w:type="dxa"/>
            <w:shd w:val="clear" w:color="auto" w:fill="auto"/>
            <w:vAlign w:val="center"/>
          </w:tcPr>
          <w:p w14:paraId="1B5B518F"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 up to 30 km/h</w:t>
            </w:r>
          </w:p>
        </w:tc>
      </w:tr>
      <w:tr w:rsidR="004937D4" w:rsidRPr="004937D4" w14:paraId="23E692E7" w14:textId="77777777" w:rsidTr="00C032CA">
        <w:trPr>
          <w:trHeight w:val="896"/>
        </w:trPr>
        <w:tc>
          <w:tcPr>
            <w:tcW w:w="392" w:type="dxa"/>
            <w:shd w:val="clear" w:color="auto" w:fill="auto"/>
            <w:vAlign w:val="center"/>
          </w:tcPr>
          <w:p w14:paraId="5EA61DB6"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7</w:t>
            </w:r>
          </w:p>
        </w:tc>
        <w:tc>
          <w:tcPr>
            <w:tcW w:w="567" w:type="dxa"/>
            <w:shd w:val="clear" w:color="auto" w:fill="auto"/>
            <w:vAlign w:val="center"/>
          </w:tcPr>
          <w:p w14:paraId="25CEC6C8"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R</w:t>
            </w:r>
          </w:p>
        </w:tc>
        <w:tc>
          <w:tcPr>
            <w:tcW w:w="708" w:type="dxa"/>
            <w:shd w:val="clear" w:color="auto" w:fill="auto"/>
            <w:vAlign w:val="center"/>
          </w:tcPr>
          <w:p w14:paraId="08AC9D35"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0,2 m</w:t>
            </w:r>
          </w:p>
        </w:tc>
        <w:tc>
          <w:tcPr>
            <w:tcW w:w="709" w:type="dxa"/>
            <w:shd w:val="clear" w:color="auto" w:fill="auto"/>
            <w:vAlign w:val="center"/>
          </w:tcPr>
          <w:p w14:paraId="6117B6B8"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0,2 m</w:t>
            </w:r>
          </w:p>
        </w:tc>
        <w:tc>
          <w:tcPr>
            <w:tcW w:w="1134" w:type="dxa"/>
            <w:shd w:val="clear" w:color="auto" w:fill="auto"/>
            <w:vAlign w:val="center"/>
          </w:tcPr>
          <w:p w14:paraId="65C9A116"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99 %</w:t>
            </w:r>
          </w:p>
        </w:tc>
        <w:tc>
          <w:tcPr>
            <w:tcW w:w="851" w:type="dxa"/>
            <w:shd w:val="clear" w:color="auto" w:fill="auto"/>
            <w:vAlign w:val="center"/>
          </w:tcPr>
          <w:p w14:paraId="0335A695"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1 s</w:t>
            </w:r>
          </w:p>
        </w:tc>
        <w:tc>
          <w:tcPr>
            <w:tcW w:w="5132" w:type="dxa"/>
            <w:gridSpan w:val="3"/>
            <w:shd w:val="clear" w:color="auto" w:fill="auto"/>
            <w:vAlign w:val="center"/>
          </w:tcPr>
          <w:p w14:paraId="3C445096"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Indoor and outdoor (rural, urban, dense urban) up to 30 km/h</w:t>
            </w:r>
          </w:p>
          <w:p w14:paraId="23D455A6" w14:textId="77777777" w:rsidR="004937D4" w:rsidRPr="004937D4" w:rsidRDefault="004937D4" w:rsidP="004937D4">
            <w:pPr>
              <w:keepNext/>
              <w:keepLines/>
              <w:spacing w:before="120" w:after="0"/>
              <w:jc w:val="center"/>
              <w:rPr>
                <w:rFonts w:ascii="Arial" w:eastAsia="Calibri" w:hAnsi="Arial"/>
                <w:sz w:val="18"/>
                <w:szCs w:val="16"/>
              </w:rPr>
            </w:pPr>
            <w:r w:rsidRPr="004937D4">
              <w:rPr>
                <w:rFonts w:ascii="Arial" w:eastAsia="Calibri" w:hAnsi="Arial"/>
                <w:sz w:val="18"/>
                <w:szCs w:val="16"/>
              </w:rPr>
              <w:t>Relative positioning is between two UEs within 10 m of each other or between one UE and 5G positioning nodes within 10 m of each other (note 3)</w:t>
            </w:r>
          </w:p>
        </w:tc>
      </w:tr>
      <w:tr w:rsidR="004937D4" w:rsidRPr="004937D4" w14:paraId="347F04E7" w14:textId="77777777" w:rsidTr="00C032CA">
        <w:tc>
          <w:tcPr>
            <w:tcW w:w="9493" w:type="dxa"/>
            <w:gridSpan w:val="9"/>
            <w:shd w:val="clear" w:color="auto" w:fill="auto"/>
            <w:vAlign w:val="center"/>
          </w:tcPr>
          <w:p w14:paraId="5F9E7A56" w14:textId="77777777" w:rsidR="004937D4" w:rsidRPr="004937D4" w:rsidRDefault="004937D4" w:rsidP="004937D4">
            <w:pPr>
              <w:keepNext/>
              <w:keepLines/>
              <w:spacing w:after="0"/>
              <w:ind w:left="851" w:hanging="851"/>
              <w:rPr>
                <w:rFonts w:ascii="Arial" w:eastAsia="Calibri" w:hAnsi="Arial"/>
                <w:sz w:val="18"/>
                <w:szCs w:val="16"/>
              </w:rPr>
            </w:pPr>
            <w:r w:rsidRPr="004937D4">
              <w:rPr>
                <w:rFonts w:ascii="Arial" w:eastAsia="Calibri" w:hAnsi="Arial"/>
                <w:sz w:val="18"/>
                <w:szCs w:val="16"/>
              </w:rPr>
              <w:lastRenderedPageBreak/>
              <w:t>NOTE 1:</w:t>
            </w:r>
            <w:r w:rsidRPr="004937D4">
              <w:rPr>
                <w:rFonts w:ascii="Arial" w:eastAsia="Calibri" w:hAnsi="Arial"/>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4937D4" w:rsidRDefault="004937D4" w:rsidP="004937D4">
            <w:pPr>
              <w:keepNext/>
              <w:keepLines/>
              <w:spacing w:after="0"/>
              <w:ind w:left="851" w:hanging="851"/>
              <w:rPr>
                <w:rFonts w:ascii="Arial" w:eastAsia="Calibri" w:hAnsi="Arial"/>
                <w:sz w:val="18"/>
                <w:szCs w:val="16"/>
              </w:rPr>
            </w:pPr>
          </w:p>
          <w:p w14:paraId="6397B504" w14:textId="77777777" w:rsidR="004937D4" w:rsidRPr="004937D4" w:rsidRDefault="004937D4" w:rsidP="004937D4">
            <w:pPr>
              <w:keepNext/>
              <w:keepLines/>
              <w:spacing w:after="0"/>
              <w:ind w:left="851" w:hanging="851"/>
              <w:rPr>
                <w:rFonts w:ascii="Arial" w:eastAsia="Calibri" w:hAnsi="Arial"/>
                <w:sz w:val="18"/>
                <w:szCs w:val="16"/>
              </w:rPr>
            </w:pPr>
            <w:r w:rsidRPr="004937D4">
              <w:rPr>
                <w:rFonts w:ascii="Arial" w:eastAsia="Calibri" w:hAnsi="Arial"/>
                <w:sz w:val="18"/>
                <w:szCs w:val="16"/>
              </w:rPr>
              <w:t xml:space="preserve">NOTE 2: </w:t>
            </w:r>
            <w:r w:rsidRPr="004937D4">
              <w:rPr>
                <w:rFonts w:ascii="Arial" w:eastAsia="Calibri" w:hAnsi="Arial"/>
                <w:sz w:val="18"/>
                <w:szCs w:val="16"/>
              </w:rPr>
              <w:tab/>
              <w:t xml:space="preserve">Indoor includes location inside buildings such as offices, hospital, industrial buildings. </w:t>
            </w:r>
          </w:p>
          <w:p w14:paraId="4E085051" w14:textId="77777777" w:rsidR="004937D4" w:rsidRPr="004937D4" w:rsidRDefault="004937D4" w:rsidP="004937D4">
            <w:pPr>
              <w:keepNext/>
              <w:keepLines/>
              <w:spacing w:after="0"/>
              <w:ind w:left="851" w:hanging="851"/>
              <w:rPr>
                <w:rFonts w:ascii="Arial" w:eastAsia="Calibri" w:hAnsi="Arial"/>
                <w:sz w:val="18"/>
                <w:szCs w:val="16"/>
              </w:rPr>
            </w:pPr>
          </w:p>
          <w:p w14:paraId="2FFE028D" w14:textId="77777777" w:rsidR="004937D4" w:rsidRPr="004937D4" w:rsidRDefault="004937D4" w:rsidP="004937D4">
            <w:pPr>
              <w:keepNext/>
              <w:keepLines/>
              <w:spacing w:after="0"/>
              <w:ind w:left="851" w:hanging="851"/>
              <w:rPr>
                <w:rFonts w:ascii="Arial" w:eastAsia="Calibri" w:hAnsi="Arial"/>
                <w:sz w:val="18"/>
                <w:szCs w:val="16"/>
              </w:rPr>
            </w:pPr>
            <w:r w:rsidRPr="004937D4">
              <w:rPr>
                <w:rFonts w:ascii="Arial" w:eastAsia="Calibri" w:hAnsi="Arial"/>
                <w:sz w:val="18"/>
                <w:szCs w:val="16"/>
              </w:rPr>
              <w:t>NOTE 3:</w:t>
            </w:r>
            <w:r w:rsidRPr="004937D4">
              <w:rPr>
                <w:rFonts w:ascii="Arial" w:eastAsia="Calibri" w:hAnsi="Arial"/>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4937D4" w:rsidRDefault="004937D4" w:rsidP="004937D4">
            <w:pPr>
              <w:keepNext/>
              <w:keepLines/>
              <w:spacing w:after="0"/>
              <w:ind w:left="851" w:hanging="851"/>
              <w:rPr>
                <w:rFonts w:ascii="Arial" w:eastAsia="Calibri" w:hAnsi="Arial"/>
                <w:sz w:val="18"/>
                <w:szCs w:val="16"/>
              </w:rPr>
            </w:pPr>
          </w:p>
        </w:tc>
      </w:tr>
    </w:tbl>
    <w:p w14:paraId="07EBD0F0" w14:textId="77777777" w:rsidR="004937D4" w:rsidRPr="004937D4" w:rsidRDefault="004937D4" w:rsidP="004937D4">
      <w:pPr>
        <w:widowControl w:val="0"/>
        <w:wordWrap w:val="0"/>
        <w:autoSpaceDE w:val="0"/>
        <w:autoSpaceDN w:val="0"/>
        <w:spacing w:after="0"/>
        <w:jc w:val="both"/>
        <w:rPr>
          <w:rFonts w:ascii="바탕" w:eastAsia="바탕"/>
          <w:kern w:val="2"/>
          <w:szCs w:val="24"/>
          <w:lang w:val="en-US" w:eastAsia="ko-KR"/>
        </w:rPr>
      </w:pPr>
    </w:p>
    <w:p w14:paraId="7CBB3172" w14:textId="77777777" w:rsidR="004937D4" w:rsidRPr="004937D4" w:rsidRDefault="004937D4" w:rsidP="004937D4">
      <w:pPr>
        <w:rPr>
          <w:rFonts w:eastAsia="맑은 고딕"/>
          <w:noProof/>
        </w:rPr>
      </w:pPr>
      <w:r w:rsidRPr="004937D4">
        <w:rPr>
          <w:rFonts w:eastAsia="맑은 고딕"/>
          <w:noProof/>
        </w:rPr>
        <w:t>The 5G system shall be able to provide the 5G positioning services with a TTFF less than 30 s and, for some 5G positioning services, shall support mechanisms to provide a TTFF less than 10 s.</w:t>
      </w:r>
    </w:p>
    <w:p w14:paraId="3464CD56" w14:textId="77777777" w:rsidR="004937D4" w:rsidRPr="004937D4" w:rsidRDefault="004937D4" w:rsidP="004937D4">
      <w:pPr>
        <w:keepLines/>
        <w:widowControl w:val="0"/>
        <w:numPr>
          <w:ilvl w:val="0"/>
          <w:numId w:val="2"/>
        </w:numPr>
        <w:wordWrap w:val="0"/>
        <w:autoSpaceDE w:val="0"/>
        <w:autoSpaceDN w:val="0"/>
        <w:spacing w:after="0"/>
        <w:ind w:left="1135" w:hanging="851"/>
        <w:jc w:val="both"/>
        <w:rPr>
          <w:rFonts w:eastAsia="맑은 고딕"/>
          <w:noProof/>
          <w:lang w:val="x-none"/>
        </w:rPr>
      </w:pPr>
      <w:r w:rsidRPr="004937D4">
        <w:rPr>
          <w:rFonts w:eastAsia="맑은 고딕"/>
          <w:noProof/>
          <w:lang w:val="x-none"/>
        </w:rPr>
        <w:t xml:space="preserve">NOTE 1: </w:t>
      </w:r>
      <w:r w:rsidRPr="004937D4">
        <w:rPr>
          <w:rFonts w:eastAsia="맑은 고딕"/>
          <w:noProof/>
          <w:lang w:val="x-none"/>
        </w:rPr>
        <w:tab/>
        <w:t>In some services, a TTFF of less than 10s may only be achievable at the expense of a relaxation of some other performances (e.g. horizontal accuracy may be 1 m or 3 m after 10 s TTFF, and reach a steady state accuracy of 0</w:t>
      </w:r>
      <w:r w:rsidRPr="004937D4">
        <w:rPr>
          <w:rFonts w:eastAsia="맑은 고딕"/>
          <w:noProof/>
        </w:rPr>
        <w:t>,</w:t>
      </w:r>
      <w:r w:rsidRPr="004937D4">
        <w:rPr>
          <w:rFonts w:eastAsia="맑은 고딕"/>
          <w:noProof/>
          <w:lang w:val="x-none"/>
        </w:rPr>
        <w:t>3 m after 30</w:t>
      </w:r>
      <w:r w:rsidRPr="004937D4">
        <w:rPr>
          <w:rFonts w:eastAsia="맑은 고딕"/>
          <w:noProof/>
        </w:rPr>
        <w:t xml:space="preserve"> </w:t>
      </w:r>
      <w:r w:rsidRPr="004937D4">
        <w:rPr>
          <w:rFonts w:eastAsia="맑은 고딕"/>
          <w:noProof/>
          <w:lang w:val="x-none"/>
        </w:rPr>
        <w:t>s).</w:t>
      </w:r>
    </w:p>
    <w:p w14:paraId="1A263DE0" w14:textId="77777777" w:rsidR="004937D4" w:rsidRPr="004937D4" w:rsidRDefault="004937D4" w:rsidP="004937D4">
      <w:pPr>
        <w:rPr>
          <w:rFonts w:eastAsia="맑은 고딕"/>
          <w:noProof/>
        </w:rPr>
      </w:pPr>
      <w:r w:rsidRPr="004937D4">
        <w:rPr>
          <w:rFonts w:eastAsia="맑은 고딕"/>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4937D4" w:rsidRDefault="004937D4" w:rsidP="004937D4">
      <w:pPr>
        <w:rPr>
          <w:rFonts w:eastAsia="맑은 고딕"/>
          <w:noProof/>
        </w:rPr>
      </w:pPr>
      <w:r w:rsidRPr="004937D4">
        <w:rPr>
          <w:rFonts w:eastAsia="맑은 고딕"/>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77777777" w:rsidR="004937D4" w:rsidRPr="004937D4" w:rsidRDefault="004937D4" w:rsidP="004937D4">
      <w:pPr>
        <w:rPr>
          <w:rFonts w:eastAsia="맑은 고딕"/>
          <w:noProof/>
        </w:rPr>
      </w:pPr>
      <w:r w:rsidRPr="004937D4">
        <w:rPr>
          <w:rFonts w:eastAsia="맑은 고딕"/>
          <w:noProof/>
        </w:rPr>
        <w:t xml:space="preserve">The 5G system shall support positioning technologies that allow the UE to operate at Service Level 1 for at least 12 years using less than 1800 mWh of battery capacity, assuming multiple position updates per hour. </w:t>
      </w:r>
    </w:p>
    <w:p w14:paraId="197C471A" w14:textId="77777777" w:rsidR="004937D4" w:rsidRPr="004937D4" w:rsidRDefault="004937D4" w:rsidP="004937D4">
      <w:pPr>
        <w:keepLines/>
        <w:widowControl w:val="0"/>
        <w:numPr>
          <w:ilvl w:val="0"/>
          <w:numId w:val="2"/>
        </w:numPr>
        <w:wordWrap w:val="0"/>
        <w:autoSpaceDE w:val="0"/>
        <w:autoSpaceDN w:val="0"/>
        <w:spacing w:after="0"/>
        <w:ind w:left="1135" w:hanging="851"/>
        <w:jc w:val="both"/>
        <w:rPr>
          <w:rFonts w:eastAsia="맑은 고딕"/>
          <w:noProof/>
          <w:lang w:val="x-none"/>
        </w:rPr>
      </w:pPr>
      <w:r w:rsidRPr="004937D4">
        <w:rPr>
          <w:rFonts w:eastAsia="맑은 고딕"/>
          <w:noProof/>
          <w:lang w:val="x-none"/>
        </w:rPr>
        <w:t>NOTE 2:</w:t>
      </w:r>
      <w:r w:rsidRPr="004937D4">
        <w:rPr>
          <w:rFonts w:eastAsia="맑은 고딕"/>
          <w:lang w:val="x-none"/>
        </w:rPr>
        <w:tab/>
      </w:r>
      <w:r w:rsidRPr="004937D4">
        <w:rPr>
          <w:rFonts w:eastAsia="맑은 고딕"/>
          <w:noProof/>
          <w:lang w:val="x-none"/>
        </w:rPr>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4FC06738" w14:textId="77777777" w:rsidR="004937D4" w:rsidRPr="004937D4" w:rsidRDefault="004937D4" w:rsidP="004937D4">
      <w:pPr>
        <w:keepLines/>
        <w:widowControl w:val="0"/>
        <w:numPr>
          <w:ilvl w:val="0"/>
          <w:numId w:val="2"/>
        </w:numPr>
        <w:wordWrap w:val="0"/>
        <w:autoSpaceDE w:val="0"/>
        <w:autoSpaceDN w:val="0"/>
        <w:spacing w:after="0"/>
        <w:ind w:left="1135" w:hanging="851"/>
        <w:jc w:val="both"/>
        <w:rPr>
          <w:rFonts w:eastAsia="맑은 고딕"/>
          <w:noProof/>
          <w:lang w:val="x-none"/>
        </w:rPr>
      </w:pPr>
      <w:r w:rsidRPr="004937D4">
        <w:rPr>
          <w:rFonts w:eastAsia="맑은 고딕"/>
          <w:noProof/>
          <w:lang w:val="x-none"/>
        </w:rPr>
        <w:t>NOTE 3:</w:t>
      </w:r>
      <w:r w:rsidRPr="004937D4">
        <w:rPr>
          <w:rFonts w:eastAsia="맑은 고딕"/>
          <w:noProof/>
          <w:lang w:val="x-none"/>
        </w:rPr>
        <w:tab/>
        <w:t>This requirement does not preclude the use of higher energy consumption to fulfil higher position update rates than the one above, or other KPIs than those of Service Level 1 (e.g. more accurate service levels).</w:t>
      </w:r>
    </w:p>
    <w:p w14:paraId="2344A0B8" w14:textId="77777777" w:rsidR="004937D4" w:rsidRPr="004937D4" w:rsidRDefault="004937D4" w:rsidP="004937D4">
      <w:pPr>
        <w:widowControl w:val="0"/>
        <w:wordWrap w:val="0"/>
        <w:autoSpaceDE w:val="0"/>
        <w:autoSpaceDN w:val="0"/>
        <w:spacing w:after="0"/>
        <w:jc w:val="both"/>
        <w:rPr>
          <w:rFonts w:ascii="바탕" w:eastAsia="바탕"/>
          <w:kern w:val="2"/>
          <w:szCs w:val="24"/>
          <w:lang w:val="en-US" w:eastAsia="ko-KR"/>
        </w:rPr>
      </w:pPr>
    </w:p>
    <w:p w14:paraId="1AD6705D" w14:textId="77777777" w:rsidR="004937D4" w:rsidRPr="004937D4" w:rsidRDefault="004937D4" w:rsidP="004937D4">
      <w:pPr>
        <w:keepNext/>
        <w:keepLines/>
        <w:spacing w:before="120"/>
        <w:jc w:val="center"/>
        <w:rPr>
          <w:rFonts w:ascii="Arial" w:eastAsia="MS Mincho" w:hAnsi="Arial"/>
          <w:b/>
        </w:rPr>
      </w:pPr>
      <w:r w:rsidRPr="004937D4">
        <w:rPr>
          <w:rFonts w:ascii="Arial" w:eastAsia="MS Mincho" w:hAnsi="Arial"/>
          <w:b/>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4937D4" w14:paraId="67F99116" w14:textId="77777777" w:rsidTr="00C032CA">
        <w:trPr>
          <w:trHeight w:val="282"/>
        </w:trPr>
        <w:tc>
          <w:tcPr>
            <w:tcW w:w="1809" w:type="dxa"/>
            <w:shd w:val="clear" w:color="auto" w:fill="auto"/>
            <w:vAlign w:val="center"/>
          </w:tcPr>
          <w:p w14:paraId="2FA15822" w14:textId="77777777" w:rsidR="004937D4" w:rsidRPr="004937D4" w:rsidRDefault="004937D4" w:rsidP="004937D4">
            <w:pPr>
              <w:keepNext/>
              <w:keepLines/>
              <w:spacing w:after="0"/>
              <w:jc w:val="center"/>
              <w:rPr>
                <w:rFonts w:ascii="Arial" w:eastAsia="MS Mincho" w:hAnsi="Arial"/>
                <w:b/>
                <w:noProof/>
                <w:sz w:val="16"/>
              </w:rPr>
            </w:pPr>
            <w:r w:rsidRPr="004937D4">
              <w:rPr>
                <w:rFonts w:ascii="Arial" w:eastAsia="MS Mincho" w:hAnsi="Arial"/>
                <w:b/>
                <w:noProof/>
                <w:sz w:val="16"/>
              </w:rPr>
              <w:t>Use cases</w:t>
            </w:r>
          </w:p>
        </w:tc>
        <w:tc>
          <w:tcPr>
            <w:tcW w:w="4395" w:type="dxa"/>
            <w:shd w:val="clear" w:color="auto" w:fill="auto"/>
            <w:vAlign w:val="center"/>
          </w:tcPr>
          <w:p w14:paraId="5BBEDA9B" w14:textId="77777777" w:rsidR="004937D4" w:rsidRPr="004937D4" w:rsidRDefault="004937D4" w:rsidP="004937D4">
            <w:pPr>
              <w:keepNext/>
              <w:keepLines/>
              <w:spacing w:after="0"/>
              <w:jc w:val="center"/>
              <w:rPr>
                <w:rFonts w:ascii="Arial" w:eastAsia="MS Mincho" w:hAnsi="Arial"/>
                <w:b/>
                <w:noProof/>
                <w:sz w:val="16"/>
              </w:rPr>
            </w:pPr>
            <w:r w:rsidRPr="004937D4">
              <w:rPr>
                <w:rFonts w:ascii="Arial" w:eastAsia="MS Mincho" w:hAnsi="Arial"/>
                <w:b/>
                <w:noProof/>
                <w:sz w:val="16"/>
              </w:rPr>
              <w:t>Description</w:t>
            </w:r>
          </w:p>
        </w:tc>
        <w:tc>
          <w:tcPr>
            <w:tcW w:w="3653" w:type="dxa"/>
            <w:shd w:val="clear" w:color="auto" w:fill="auto"/>
            <w:vAlign w:val="center"/>
          </w:tcPr>
          <w:p w14:paraId="43D5465F" w14:textId="77777777" w:rsidR="004937D4" w:rsidRPr="004937D4" w:rsidRDefault="004937D4" w:rsidP="004937D4">
            <w:pPr>
              <w:keepNext/>
              <w:keepLines/>
              <w:spacing w:after="0"/>
              <w:jc w:val="center"/>
              <w:rPr>
                <w:rFonts w:ascii="Arial" w:eastAsia="MS Mincho" w:hAnsi="Arial"/>
                <w:b/>
                <w:noProof/>
                <w:sz w:val="16"/>
              </w:rPr>
            </w:pPr>
            <w:r w:rsidRPr="004937D4">
              <w:rPr>
                <w:rFonts w:ascii="Arial" w:eastAsia="MS Mincho" w:hAnsi="Arial"/>
                <w:b/>
                <w:noProof/>
                <w:sz w:val="16"/>
              </w:rPr>
              <w:t>Main KPIs range and drivers</w:t>
            </w:r>
          </w:p>
        </w:tc>
      </w:tr>
      <w:tr w:rsidR="004937D4" w:rsidRPr="004937D4" w14:paraId="5A9B8B07" w14:textId="77777777" w:rsidTr="00C032CA">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Service area is both indoor and outdoor</w:t>
            </w:r>
          </w:p>
          <w:p w14:paraId="765B76D9"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Accuracy: &lt; 1m horizontal, &lt; 2m vertical (indoor for floor detection) and &lt; 0,3 m vertical (relative) to detect changes in height of the UE holder.</w:t>
            </w:r>
          </w:p>
          <w:p w14:paraId="2DEB4C2F"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Availability &gt; 95 % (98% outdoor)</w:t>
            </w:r>
          </w:p>
          <w:p w14:paraId="36D66989"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Other KPI drivers include: MCX, confidence, event-triggered report</w:t>
            </w:r>
          </w:p>
        </w:tc>
      </w:tr>
      <w:tr w:rsidR="004937D4" w:rsidRPr="004937D4" w14:paraId="7F3636AA" w14:textId="77777777" w:rsidTr="00C032CA">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4937D4">
              <w:rPr>
                <w:rFonts w:ascii="Arial" w:eastAsia="MS Mincho" w:hAnsi="Arial"/>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Accuracy: 1-3m horizontal (with &lt;1m across-track for lane detection), &lt;2,5 m vertical,</w:t>
            </w:r>
          </w:p>
          <w:p w14:paraId="75079AD3"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Velocity &lt; 2m/s, Availability: 95-99%</w:t>
            </w:r>
          </w:p>
          <w:p w14:paraId="3FCB8EE8" w14:textId="77777777" w:rsidR="004937D4" w:rsidRPr="004937D4" w:rsidRDefault="004937D4" w:rsidP="004937D4">
            <w:pPr>
              <w:keepNext/>
              <w:keepLines/>
              <w:spacing w:after="0"/>
              <w:jc w:val="center"/>
              <w:rPr>
                <w:rFonts w:ascii="Arial" w:eastAsia="MS Mincho" w:hAnsi="Arial"/>
                <w:noProof/>
                <w:sz w:val="16"/>
              </w:rPr>
            </w:pPr>
            <w:r w:rsidRPr="004937D4">
              <w:rPr>
                <w:rFonts w:ascii="Arial" w:eastAsia="MS Mincho" w:hAnsi="Arial"/>
                <w:noProof/>
                <w:sz w:val="16"/>
              </w:rPr>
              <w:t>Other KPI drivers include: tampering detection and prevention (typically for Road User Charging)</w:t>
            </w:r>
          </w:p>
        </w:tc>
      </w:tr>
    </w:tbl>
    <w:p w14:paraId="5DDC1689" w14:textId="77777777" w:rsidR="004937D4" w:rsidRPr="004937D4" w:rsidRDefault="004937D4" w:rsidP="004937D4">
      <w:pPr>
        <w:widowControl w:val="0"/>
        <w:wordWrap w:val="0"/>
        <w:autoSpaceDE w:val="0"/>
        <w:autoSpaceDN w:val="0"/>
        <w:spacing w:after="0"/>
        <w:jc w:val="both"/>
        <w:rPr>
          <w:rFonts w:eastAsia="바탕"/>
          <w:noProof/>
          <w:color w:val="FF0000"/>
          <w:kern w:val="2"/>
          <w:sz w:val="24"/>
          <w:szCs w:val="24"/>
          <w:lang w:val="en-US" w:eastAsia="zh-CN"/>
        </w:rPr>
      </w:pPr>
    </w:p>
    <w:p w14:paraId="5F596C7F"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04A41F1B" w14:textId="77777777" w:rsidR="004937D4" w:rsidRPr="004937D4" w:rsidRDefault="004937D4" w:rsidP="004937D4">
      <w:pPr>
        <w:wordWrap w:val="0"/>
        <w:autoSpaceDE w:val="0"/>
        <w:autoSpaceDN w:val="0"/>
        <w:spacing w:before="120" w:after="0"/>
        <w:jc w:val="both"/>
        <w:rPr>
          <w:rFonts w:eastAsia="바탕"/>
          <w:kern w:val="2"/>
          <w:lang w:val="en-US" w:eastAsia="ko-KR"/>
        </w:rPr>
      </w:pPr>
      <w:r w:rsidRPr="004937D4">
        <w:rPr>
          <w:rFonts w:eastAsia="바탕"/>
          <w:kern w:val="2"/>
          <w:lang w:val="en-US" w:eastAsia="ko-KR"/>
        </w:rPr>
        <w:t xml:space="preserve">[R.5.1-007] </w:t>
      </w:r>
      <w:proofErr w:type="gramStart"/>
      <w:r w:rsidRPr="004937D4">
        <w:rPr>
          <w:rFonts w:eastAsia="바탕"/>
          <w:kern w:val="2"/>
          <w:lang w:val="en-US" w:eastAsia="ko-KR"/>
        </w:rPr>
        <w:t>The</w:t>
      </w:r>
      <w:proofErr w:type="gramEnd"/>
      <w:r w:rsidRPr="004937D4">
        <w:rPr>
          <w:rFonts w:eastAsia="바탕"/>
          <w:kern w:val="2"/>
          <w:lang w:val="en-US" w:eastAsia="ko-KR"/>
        </w:rPr>
        <w:t xml:space="preserve"> 3GPP system shall support relative lateral position accuracy of 0.1 m between UEs supporting V2X application.</w:t>
      </w:r>
    </w:p>
    <w:p w14:paraId="2749EF8E" w14:textId="77777777" w:rsidR="004937D4" w:rsidRPr="004937D4" w:rsidRDefault="004937D4" w:rsidP="004937D4">
      <w:pPr>
        <w:wordWrap w:val="0"/>
        <w:autoSpaceDE w:val="0"/>
        <w:autoSpaceDN w:val="0"/>
        <w:spacing w:before="120" w:after="0"/>
        <w:jc w:val="both"/>
        <w:rPr>
          <w:rFonts w:eastAsia="바탕"/>
          <w:kern w:val="2"/>
          <w:lang w:val="en-US" w:eastAsia="ko-KR"/>
        </w:rPr>
      </w:pPr>
    </w:p>
    <w:p w14:paraId="5A77DC86" w14:textId="77777777" w:rsidR="004937D4" w:rsidRPr="004937D4" w:rsidRDefault="004937D4" w:rsidP="004937D4">
      <w:pPr>
        <w:widowControl w:val="0"/>
        <w:wordWrap w:val="0"/>
        <w:autoSpaceDE w:val="0"/>
        <w:autoSpaceDN w:val="0"/>
        <w:spacing w:after="0"/>
        <w:jc w:val="both"/>
        <w:rPr>
          <w:rFonts w:eastAsia="바탕"/>
          <w:kern w:val="2"/>
          <w:lang w:val="en-US" w:eastAsia="ko-KR"/>
        </w:rPr>
      </w:pPr>
      <w:r w:rsidRPr="004937D4">
        <w:rPr>
          <w:rFonts w:eastAsia="바탕"/>
          <w:kern w:val="2"/>
          <w:lang w:val="en-US" w:eastAsia="ko-KR"/>
        </w:rPr>
        <w:t xml:space="preserve">[R.5.2-003] </w:t>
      </w:r>
      <w:proofErr w:type="gramStart"/>
      <w:r w:rsidRPr="004937D4">
        <w:rPr>
          <w:rFonts w:eastAsia="바탕"/>
          <w:kern w:val="2"/>
          <w:lang w:val="en-US" w:eastAsia="ko-KR"/>
        </w:rPr>
        <w:t>The</w:t>
      </w:r>
      <w:proofErr w:type="gramEnd"/>
      <w:r w:rsidRPr="004937D4">
        <w:rPr>
          <w:rFonts w:eastAsia="바탕"/>
          <w:kern w:val="2"/>
          <w:lang w:val="en-US" w:eastAsia="ko-KR"/>
        </w:rPr>
        <w:t xml:space="preserve"> 3GPP system shall support relative longitudinal position accuracy of less than 0.5 m for UEs supporting V2X application for platooning in proximity.</w:t>
      </w:r>
    </w:p>
    <w:p w14:paraId="4353D486" w14:textId="77777777" w:rsidR="004937D4" w:rsidRPr="004937D4" w:rsidRDefault="004937D4" w:rsidP="004937D4">
      <w:pPr>
        <w:widowControl w:val="0"/>
        <w:wordWrap w:val="0"/>
        <w:autoSpaceDE w:val="0"/>
        <w:autoSpaceDN w:val="0"/>
        <w:spacing w:after="0"/>
        <w:jc w:val="both"/>
        <w:rPr>
          <w:rFonts w:eastAsia="SimSun"/>
          <w:noProof/>
          <w:color w:val="FF0000"/>
          <w:kern w:val="2"/>
          <w:sz w:val="24"/>
          <w:szCs w:val="24"/>
          <w:lang w:val="en-US" w:eastAsia="zh-CN"/>
        </w:rPr>
      </w:pPr>
    </w:p>
    <w:p w14:paraId="020CFC57"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77777777" w:rsidR="004937D4" w:rsidRPr="004937D4" w:rsidRDefault="004937D4" w:rsidP="004937D4">
      <w:pPr>
        <w:spacing w:after="240" w:line="276" w:lineRule="auto"/>
        <w:rPr>
          <w:rFonts w:eastAsia="바탕"/>
          <w:kern w:val="2"/>
          <w:lang w:val="en-US" w:eastAsia="ko-KR"/>
        </w:rPr>
      </w:pPr>
      <w:r w:rsidRPr="004937D4">
        <w:rPr>
          <w:rFonts w:eastAsia="바탕"/>
          <w:kern w:val="2"/>
          <w:lang w:val="en-US" w:eastAsia="ko-KR"/>
        </w:rPr>
        <w:lastRenderedPageBreak/>
        <w:t xml:space="preserve">The positioning requirements according to the 5GAA TRs on Use Cases Vol. I and II can be summarize into three main groups, all at the highest speed a participating vehicle might be driving at, depending on the type of road environment and/or safety rules (e.g. 250kph on German Autobahn)  </w:t>
      </w:r>
    </w:p>
    <w:p w14:paraId="794E57FA" w14:textId="77777777" w:rsidR="004937D4" w:rsidRPr="004937D4" w:rsidRDefault="004937D4" w:rsidP="004937D4">
      <w:pPr>
        <w:widowControl w:val="0"/>
        <w:numPr>
          <w:ilvl w:val="0"/>
          <w:numId w:val="7"/>
        </w:numPr>
        <w:wordWrap w:val="0"/>
        <w:autoSpaceDE w:val="0"/>
        <w:autoSpaceDN w:val="0"/>
        <w:spacing w:after="0"/>
        <w:contextualSpacing/>
        <w:jc w:val="both"/>
        <w:rPr>
          <w:rFonts w:eastAsia="바탕"/>
          <w:kern w:val="2"/>
          <w:lang w:val="en-US" w:eastAsia="ko-KR"/>
        </w:rPr>
      </w:pPr>
      <w:r w:rsidRPr="004937D4">
        <w:rPr>
          <w:rFonts w:eastAsia="바탕"/>
          <w:kern w:val="2"/>
          <w:lang w:val="en-US" w:eastAsia="ko-KR"/>
        </w:rPr>
        <w:t>Relatively lax, 10s of meters with 1 sigma (information provisioning)</w:t>
      </w:r>
    </w:p>
    <w:p w14:paraId="4D9201C3" w14:textId="77777777" w:rsidR="004937D4" w:rsidRPr="004937D4" w:rsidRDefault="004937D4" w:rsidP="004937D4">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Traffic Jam Warning - Urban Scenario on Road Warning</w:t>
      </w:r>
    </w:p>
    <w:p w14:paraId="755A7E10" w14:textId="77777777" w:rsidR="004937D4" w:rsidRPr="004937D4" w:rsidRDefault="004937D4" w:rsidP="004937D4">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Traffic Jam Warning - Rural Scenario on Road Warning</w:t>
      </w:r>
    </w:p>
    <w:p w14:paraId="2BA31F0E" w14:textId="77777777" w:rsidR="004937D4" w:rsidRPr="004937D4" w:rsidRDefault="004937D4" w:rsidP="004937D4">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Traffic Jam Warning - Highway Scenario on Road Warning</w:t>
      </w:r>
    </w:p>
    <w:p w14:paraId="2BEB1DA6" w14:textId="77777777" w:rsidR="004937D4" w:rsidRPr="004937D4" w:rsidRDefault="004937D4" w:rsidP="004937D4">
      <w:pPr>
        <w:widowControl w:val="0"/>
        <w:numPr>
          <w:ilvl w:val="0"/>
          <w:numId w:val="9"/>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Rural Scenario on Route Information</w:t>
      </w:r>
    </w:p>
    <w:p w14:paraId="75DD40AB"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Highway Scenario on Route Information</w:t>
      </w:r>
    </w:p>
    <w:p w14:paraId="4406D862"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Software Update - Conventional-Routine/Urgent, Autonomous-Routine</w:t>
      </w:r>
    </w:p>
    <w:p w14:paraId="55A7EF9B"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Software Update - Autonomous-Urgent</w:t>
      </w:r>
      <w:r w:rsidRPr="004937D4">
        <w:rPr>
          <w:rFonts w:eastAsia="맑은 고딕"/>
        </w:rPr>
        <w:tab/>
      </w:r>
    </w:p>
    <w:p w14:paraId="269FFC81"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Software Update - Without Infrastructure, Vehicle to Workshop</w:t>
      </w:r>
      <w:r w:rsidRPr="004937D4">
        <w:rPr>
          <w:rFonts w:eastAsia="맑은 고딕"/>
        </w:rPr>
        <w:tab/>
      </w:r>
    </w:p>
    <w:p w14:paraId="62A6A99E"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Remote Automated Driving Cancellation</w:t>
      </w:r>
      <w:r w:rsidRPr="004937D4">
        <w:rPr>
          <w:rFonts w:eastAsia="맑은 고딕"/>
        </w:rPr>
        <w:tab/>
      </w:r>
    </w:p>
    <w:p w14:paraId="2EC5FA8D"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HD Content Delivery - High-End Service for cars</w:t>
      </w:r>
      <w:r w:rsidRPr="004937D4">
        <w:rPr>
          <w:rFonts w:eastAsia="맑은 고딕"/>
        </w:rPr>
        <w:tab/>
      </w:r>
    </w:p>
    <w:p w14:paraId="7C29B921"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HD Content Delivery - Low-End Service for cars</w:t>
      </w:r>
      <w:r w:rsidRPr="004937D4">
        <w:rPr>
          <w:rFonts w:eastAsia="맑은 고딕"/>
        </w:rPr>
        <w:tab/>
      </w:r>
    </w:p>
    <w:p w14:paraId="67B012E2"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HD Content Delivery – Bus Passenger Service</w:t>
      </w:r>
    </w:p>
    <w:p w14:paraId="68D15785"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Software Update of Reconfigurable Radio System</w:t>
      </w:r>
    </w:p>
    <w:p w14:paraId="421766FA"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Patient Transport Monitoring</w:t>
      </w:r>
      <w:r w:rsidRPr="004937D4">
        <w:rPr>
          <w:rFonts w:eastAsia="맑은 고딕"/>
        </w:rPr>
        <w:tab/>
      </w:r>
    </w:p>
    <w:p w14:paraId="16D6609C" w14:textId="77777777" w:rsidR="004937D4" w:rsidRPr="004937D4" w:rsidRDefault="004937D4" w:rsidP="004937D4">
      <w:pPr>
        <w:widowControl w:val="0"/>
        <w:numPr>
          <w:ilvl w:val="0"/>
          <w:numId w:val="8"/>
        </w:numPr>
        <w:tabs>
          <w:tab w:val="left" w:pos="5103"/>
        </w:tabs>
        <w:wordWrap w:val="0"/>
        <w:autoSpaceDE w:val="0"/>
        <w:autoSpaceDN w:val="0"/>
        <w:spacing w:after="240" w:line="360" w:lineRule="auto"/>
        <w:ind w:left="714" w:hanging="357"/>
        <w:contextualSpacing/>
        <w:jc w:val="both"/>
        <w:rPr>
          <w:rFonts w:eastAsia="맑은 고딕"/>
        </w:rPr>
      </w:pPr>
      <w:r w:rsidRPr="004937D4">
        <w:rPr>
          <w:rFonts w:eastAsia="맑은 고딕"/>
        </w:rPr>
        <w:t>Automated Valet Parking (Wake Up)</w:t>
      </w:r>
      <w:r w:rsidRPr="004937D4">
        <w:rPr>
          <w:rFonts w:eastAsia="맑은 고딕"/>
        </w:rPr>
        <w:tab/>
      </w:r>
    </w:p>
    <w:p w14:paraId="394507B4" w14:textId="77777777" w:rsidR="004937D4" w:rsidRPr="004937D4" w:rsidRDefault="004937D4" w:rsidP="004937D4">
      <w:pPr>
        <w:widowControl w:val="0"/>
        <w:numPr>
          <w:ilvl w:val="0"/>
          <w:numId w:val="7"/>
        </w:numPr>
        <w:wordWrap w:val="0"/>
        <w:autoSpaceDE w:val="0"/>
        <w:autoSpaceDN w:val="0"/>
        <w:spacing w:before="288" w:after="0"/>
        <w:ind w:left="658" w:hanging="357"/>
        <w:contextualSpacing/>
        <w:jc w:val="both"/>
        <w:rPr>
          <w:rFonts w:eastAsia="바탕"/>
          <w:kern w:val="2"/>
          <w:lang w:val="en-US" w:eastAsia="ko-KR"/>
        </w:rPr>
      </w:pPr>
      <w:r w:rsidRPr="004937D4">
        <w:rPr>
          <w:rFonts w:eastAsia="바탕"/>
          <w:kern w:val="2"/>
          <w:lang w:val="en-US" w:eastAsia="ko-KR"/>
        </w:rPr>
        <w:t>Lane level accuracy, 1.5 m with 3 sigma (e.g. day1 safety use cases)</w:t>
      </w:r>
    </w:p>
    <w:p w14:paraId="284565B9"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Cross-Traffic Left-Turn Assist</w:t>
      </w:r>
    </w:p>
    <w:p w14:paraId="095C422D"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Intersection Movement Assist</w:t>
      </w:r>
    </w:p>
    <w:p w14:paraId="33637544"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Emergency Break Warning</w:t>
      </w:r>
    </w:p>
    <w:p w14:paraId="09967F08"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 xml:space="preserve">Lane Change Warning - lagging vehicle, leading vehicle, Highway </w:t>
      </w:r>
    </w:p>
    <w:p w14:paraId="6D941AC3"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Lane Change Warning - lagging vehicle, leading vehicle, urban</w:t>
      </w:r>
      <w:r w:rsidRPr="004937D4">
        <w:rPr>
          <w:rFonts w:eastAsia="맑은 고딕"/>
        </w:rPr>
        <w:tab/>
      </w:r>
    </w:p>
    <w:p w14:paraId="65D3A845"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Lane Change Warning - not permitted case, rural</w:t>
      </w:r>
    </w:p>
    <w:p w14:paraId="03EB3B9B"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Vehicle Health Monitoring</w:t>
      </w:r>
    </w:p>
    <w:p w14:paraId="725A694B"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 xml:space="preserve">Speed Harmonization </w:t>
      </w:r>
    </w:p>
    <w:p w14:paraId="11866719"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 xml:space="preserve">See-Through for Pass </w:t>
      </w:r>
      <w:proofErr w:type="spellStart"/>
      <w:r w:rsidRPr="004937D4">
        <w:rPr>
          <w:rFonts w:eastAsia="맑은 고딕"/>
        </w:rPr>
        <w:t>Maneuver</w:t>
      </w:r>
      <w:proofErr w:type="spellEnd"/>
    </w:p>
    <w:p w14:paraId="6C2DDF81"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Obstructed View Assist via CCTV</w:t>
      </w:r>
    </w:p>
    <w:p w14:paraId="36E44542"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Obstructed View Assist via Remote Vehicles</w:t>
      </w:r>
    </w:p>
    <w:p w14:paraId="6E41D64E"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Continuous Traffic Flow via Green Lights Coordination</w:t>
      </w:r>
    </w:p>
    <w:p w14:paraId="6EC76CAA"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Vehicle collects hazard and road event for AV</w:t>
      </w:r>
    </w:p>
    <w:p w14:paraId="73A0992F"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Vehicles Platooning in Steady State</w:t>
      </w:r>
    </w:p>
    <w:p w14:paraId="7321A1C6"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Cooperative Lane Merge</w:t>
      </w:r>
    </w:p>
    <w:p w14:paraId="6C4812F3"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Autonomous Vehicle Disengagement Report</w:t>
      </w:r>
    </w:p>
    <w:p w14:paraId="240BF561"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Accident Report</w:t>
      </w:r>
    </w:p>
    <w:p w14:paraId="79D162E0"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Awareness Confirmation</w:t>
      </w:r>
    </w:p>
    <w:p w14:paraId="70CB2701"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Coordinated, Cooperative Driving Manoeuvre - Cooperative Lane Change</w:t>
      </w:r>
    </w:p>
    <w:p w14:paraId="3CA4467A"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Coordinated, Cooperative Driving Manoeuvre - Road Blockage</w:t>
      </w:r>
    </w:p>
    <w:p w14:paraId="05308C91"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Bus Lane Sharing Request</w:t>
      </w:r>
    </w:p>
    <w:p w14:paraId="328D4CC6"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Bus Lane Sharing Revocation</w:t>
      </w:r>
    </w:p>
    <w:p w14:paraId="71C72750" w14:textId="77777777" w:rsidR="004937D4" w:rsidRPr="004937D4" w:rsidRDefault="004937D4" w:rsidP="004937D4">
      <w:pPr>
        <w:widowControl w:val="0"/>
        <w:numPr>
          <w:ilvl w:val="0"/>
          <w:numId w:val="8"/>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Vehicle Decision Assist - RV Waiting for a Short Period of Time, RV Broken Down, Bus Having to Wait</w:t>
      </w:r>
    </w:p>
    <w:p w14:paraId="003C0AAC" w14:textId="77777777" w:rsidR="004937D4" w:rsidRPr="004937D4" w:rsidRDefault="004937D4" w:rsidP="004937D4">
      <w:pPr>
        <w:widowControl w:val="0"/>
        <w:numPr>
          <w:ilvl w:val="0"/>
          <w:numId w:val="8"/>
        </w:numPr>
        <w:tabs>
          <w:tab w:val="left" w:pos="5103"/>
        </w:tabs>
        <w:wordWrap w:val="0"/>
        <w:autoSpaceDE w:val="0"/>
        <w:autoSpaceDN w:val="0"/>
        <w:spacing w:after="240" w:line="360" w:lineRule="auto"/>
        <w:ind w:left="714" w:hanging="357"/>
        <w:contextualSpacing/>
        <w:jc w:val="both"/>
        <w:rPr>
          <w:rFonts w:eastAsia="맑은 고딕"/>
        </w:rPr>
      </w:pPr>
      <w:r w:rsidRPr="004937D4">
        <w:rPr>
          <w:rFonts w:eastAsia="맑은 고딕"/>
        </w:rPr>
        <w:t xml:space="preserve">Vehicle Decision Assist - Slow Vehicle </w:t>
      </w:r>
      <w:proofErr w:type="spellStart"/>
      <w:r w:rsidRPr="004937D4">
        <w:rPr>
          <w:rFonts w:eastAsia="맑은 고딕"/>
        </w:rPr>
        <w:t>en</w:t>
      </w:r>
      <w:proofErr w:type="spellEnd"/>
      <w:r w:rsidRPr="004937D4">
        <w:rPr>
          <w:rFonts w:eastAsia="맑은 고딕"/>
        </w:rPr>
        <w:t xml:space="preserve"> Route</w:t>
      </w:r>
    </w:p>
    <w:p w14:paraId="1A721D76" w14:textId="77777777" w:rsidR="004937D4" w:rsidRPr="004937D4" w:rsidRDefault="004937D4" w:rsidP="004937D4">
      <w:pPr>
        <w:widowControl w:val="0"/>
        <w:numPr>
          <w:ilvl w:val="0"/>
          <w:numId w:val="7"/>
        </w:numPr>
        <w:wordWrap w:val="0"/>
        <w:autoSpaceDE w:val="0"/>
        <w:autoSpaceDN w:val="0"/>
        <w:spacing w:after="0"/>
        <w:contextualSpacing/>
        <w:jc w:val="both"/>
        <w:rPr>
          <w:rFonts w:eastAsia="바탕"/>
          <w:kern w:val="2"/>
          <w:lang w:val="en-US" w:eastAsia="ko-KR"/>
        </w:rPr>
      </w:pPr>
      <w:r w:rsidRPr="004937D4">
        <w:rPr>
          <w:rFonts w:eastAsia="바탕"/>
          <w:kern w:val="2"/>
          <w:lang w:val="en-US" w:eastAsia="ko-KR"/>
        </w:rPr>
        <w:t xml:space="preserve">Below meter level accuracy, e.g. 0.1 m with 3 sigma (e.g. automated driving or </w:t>
      </w:r>
      <w:proofErr w:type="spellStart"/>
      <w:r w:rsidRPr="004937D4">
        <w:rPr>
          <w:rFonts w:eastAsia="바탕"/>
          <w:kern w:val="2"/>
          <w:lang w:val="en-US" w:eastAsia="ko-KR"/>
        </w:rPr>
        <w:t>teleoperated</w:t>
      </w:r>
      <w:proofErr w:type="spellEnd"/>
      <w:r w:rsidRPr="004937D4">
        <w:rPr>
          <w:rFonts w:eastAsia="바탕"/>
          <w:kern w:val="2"/>
          <w:lang w:val="en-US" w:eastAsia="ko-KR"/>
        </w:rPr>
        <w:t xml:space="preserve"> driving)</w:t>
      </w:r>
    </w:p>
    <w:p w14:paraId="26E0FB75"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High Definition Sensor Sharing</w:t>
      </w:r>
    </w:p>
    <w:p w14:paraId="201B7335"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Vulnerable Road User - Awareness near potentially dangerous situations Urban</w:t>
      </w:r>
    </w:p>
    <w:p w14:paraId="581F6AAE"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Vulnerable Road User - Collision risk warning</w:t>
      </w:r>
    </w:p>
    <w:p w14:paraId="484C786A"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Real-Time Situational Awareness &amp; High-Definition Maps</w:t>
      </w:r>
    </w:p>
    <w:p w14:paraId="38B4673B"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Group Start</w:t>
      </w:r>
    </w:p>
    <w:p w14:paraId="7BE90B69"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lastRenderedPageBreak/>
        <w:t>Tele-Operated Driving (TOD)</w:t>
      </w:r>
    </w:p>
    <w:p w14:paraId="3667B833"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TOD support</w:t>
      </w:r>
    </w:p>
    <w:p w14:paraId="44125C83"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TOD for Automated Parking</w:t>
      </w:r>
    </w:p>
    <w:p w14:paraId="0F73DB38"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Cooperative Manoeuvres of Autonomous Vehicles for Emergency Situations</w:t>
      </w:r>
    </w:p>
    <w:p w14:paraId="6AADADB6"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High definition map collecting &amp; sharing</w:t>
      </w:r>
    </w:p>
    <w:p w14:paraId="23EE0C11"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Automated Intersection crossing</w:t>
      </w:r>
    </w:p>
    <w:p w14:paraId="7E519FB2"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 xml:space="preserve">Infrastructure Assisted Environment Perception - Data Distribution about Objects on the Road  </w:t>
      </w:r>
    </w:p>
    <w:p w14:paraId="1C68605C"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Infrastructure Assisted Environment Perception - Individual Data Transmission in Form of Trajectories or Actuation Commands)</w:t>
      </w:r>
      <w:r w:rsidRPr="004937D4">
        <w:rPr>
          <w:rFonts w:eastAsia="맑은 고딕"/>
        </w:rPr>
        <w:tab/>
      </w:r>
    </w:p>
    <w:p w14:paraId="6B456417"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Infrastructure based Tele-Operated Driving</w:t>
      </w:r>
    </w:p>
    <w:p w14:paraId="601DA8CF"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Automated Valet Parking – Joint Authentication and Proof of Localisation</w:t>
      </w:r>
    </w:p>
    <w:p w14:paraId="6CE2011C"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Coordinated, Cooperative Driving Manoeuvre - Pedestrian Crossing</w:t>
      </w:r>
    </w:p>
    <w:p w14:paraId="35518F4D"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Cooperative Traffic gap</w:t>
      </w:r>
    </w:p>
    <w:p w14:paraId="14F347D4"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Cooperative Lateral Parking</w:t>
      </w:r>
    </w:p>
    <w:p w14:paraId="54175519" w14:textId="77777777" w:rsidR="004937D4" w:rsidRPr="004937D4" w:rsidRDefault="004937D4" w:rsidP="004937D4">
      <w:pPr>
        <w:widowControl w:val="0"/>
        <w:numPr>
          <w:ilvl w:val="0"/>
          <w:numId w:val="10"/>
        </w:numPr>
        <w:tabs>
          <w:tab w:val="left" w:pos="5103"/>
        </w:tabs>
        <w:wordWrap w:val="0"/>
        <w:autoSpaceDE w:val="0"/>
        <w:autoSpaceDN w:val="0"/>
        <w:spacing w:after="240" w:line="276" w:lineRule="auto"/>
        <w:contextualSpacing/>
        <w:jc w:val="both"/>
        <w:rPr>
          <w:rFonts w:eastAsia="맑은 고딕"/>
        </w:rPr>
      </w:pPr>
      <w:r w:rsidRPr="004937D4">
        <w:rPr>
          <w:rFonts w:eastAsia="맑은 고딕"/>
        </w:rPr>
        <w:t xml:space="preserve">Cooperative </w:t>
      </w:r>
      <w:proofErr w:type="spellStart"/>
      <w:r w:rsidRPr="004937D4">
        <w:rPr>
          <w:rFonts w:eastAsia="맑은 고딕"/>
        </w:rPr>
        <w:t>Curbside</w:t>
      </w:r>
      <w:proofErr w:type="spellEnd"/>
      <w:r w:rsidRPr="004937D4">
        <w:rPr>
          <w:rFonts w:eastAsia="맑은 고딕"/>
        </w:rPr>
        <w:t xml:space="preserve"> Management</w:t>
      </w:r>
    </w:p>
    <w:p w14:paraId="1E288C0E" w14:textId="77777777" w:rsidR="004937D4" w:rsidRPr="004937D4" w:rsidRDefault="004937D4" w:rsidP="004937D4">
      <w:pPr>
        <w:widowControl w:val="0"/>
        <w:wordWrap w:val="0"/>
        <w:autoSpaceDE w:val="0"/>
        <w:autoSpaceDN w:val="0"/>
        <w:spacing w:after="0"/>
        <w:jc w:val="both"/>
        <w:rPr>
          <w:rFonts w:eastAsia="SimSun"/>
          <w:noProof/>
          <w:color w:val="FF0000"/>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37439CB6"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[R-5.11-001] The MCX Service shall support obtaining and conveying Location information describing the position of the MCX UE.</w:t>
      </w:r>
    </w:p>
    <w:p w14:paraId="37DFCE48"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[R-5.11-002] The MCX Service should support obtaining and conveying high accuracy Location information describing the position of the MCX UE.</w:t>
      </w:r>
    </w:p>
    <w:p w14:paraId="1FF963AB"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 xml:space="preserve">[R-5.11-002a] The MCX Service shall be able to provide a mechanism for obtaining high accuracy Location information </w:t>
      </w:r>
      <w:r w:rsidRPr="004937D4">
        <w:rPr>
          <w:rFonts w:eastAsia="맑은 고딕"/>
          <w:lang w:eastAsia="ko-KR"/>
        </w:rPr>
        <w:t>by</w:t>
      </w:r>
      <w:r w:rsidRPr="004937D4">
        <w:rPr>
          <w:rFonts w:eastAsia="맑은 고딕"/>
        </w:rPr>
        <w:t xml:space="preserve"> integrating position information from multiple external sources (e.g. magnetometers, orientation sensors, GNSS) </w:t>
      </w:r>
    </w:p>
    <w:p w14:paraId="3D7163D9"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[R-5.11-003] The MCX Service shall provide for the flexibility to convey future formats of Location information.</w:t>
      </w:r>
    </w:p>
    <w:p w14:paraId="421055AC"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[R-5.11-004] The MCX Service shall provide a means for MCX Service Administrators to manage the privacy of Location information for MCX Users within their authority.</w:t>
      </w:r>
    </w:p>
    <w:p w14:paraId="07B37929"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 xml:space="preserve">[R-5.11-005] </w:t>
      </w:r>
      <w:proofErr w:type="gramStart"/>
      <w:r w:rsidRPr="004937D4">
        <w:rPr>
          <w:rFonts w:eastAsia="맑은 고딕"/>
        </w:rPr>
        <w:t>An</w:t>
      </w:r>
      <w:proofErr w:type="gramEnd"/>
      <w:r w:rsidRPr="004937D4">
        <w:rPr>
          <w:rFonts w:eastAsia="맑은 고딕"/>
        </w:rPr>
        <w:t xml:space="preserve"> authorized MCX User shall be able to control the supplying of Location information by the MCX UE for MCX Service communications.</w:t>
      </w:r>
    </w:p>
    <w:p w14:paraId="0B3BCCED"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 xml:space="preserve">[R-5.11-006] </w:t>
      </w:r>
      <w:proofErr w:type="gramStart"/>
      <w:r w:rsidRPr="004937D4">
        <w:rPr>
          <w:rFonts w:eastAsia="맑은 고딕"/>
        </w:rPr>
        <w:t>The</w:t>
      </w:r>
      <w:proofErr w:type="gramEnd"/>
      <w:r w:rsidRPr="004937D4">
        <w:rPr>
          <w:rFonts w:eastAsia="맑은 고딕"/>
        </w:rPr>
        <w:t xml:space="preserve"> conveyed Location information shall be the most recently obtained information about the position of the MCX UE at the time of the Location information conveyance.</w:t>
      </w:r>
    </w:p>
    <w:p w14:paraId="103147F6"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[R-5.11-008] The MCX Service shall be able to modify Location information update triggers of an MCX User while the MCX User is on the network.</w:t>
      </w:r>
    </w:p>
    <w:p w14:paraId="6C4D953D"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[R-5.11-010] The MCX Service shall provide a means for an MCX UE to send a Location information update whenever the MCX User initiates an MCX Service Emergency Alert.</w:t>
      </w:r>
    </w:p>
    <w:p w14:paraId="31B74897"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[R-5.11-011] The MCX Service shall provide a means for an MCX UE to send a Location information update whenever the MCX User initiates an MCX Service Emergency Group Communication.</w:t>
      </w:r>
    </w:p>
    <w:p w14:paraId="5F68A58A"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lastRenderedPageBreak/>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4937D4" w:rsidRDefault="004937D4" w:rsidP="004937D4">
      <w:pPr>
        <w:keepLines/>
        <w:overflowPunct w:val="0"/>
        <w:autoSpaceDE w:val="0"/>
        <w:autoSpaceDN w:val="0"/>
        <w:adjustRightInd w:val="0"/>
        <w:ind w:left="1135" w:hanging="851"/>
        <w:textAlignment w:val="baseline"/>
        <w:rPr>
          <w:rFonts w:eastAsia="맑은 고딕"/>
        </w:rPr>
      </w:pPr>
      <w:r w:rsidRPr="004937D4">
        <w:rPr>
          <w:rFonts w:eastAsia="맑은 고딕"/>
        </w:rPr>
        <w:t>NOTE 1:</w:t>
      </w:r>
      <w:r w:rsidRPr="004937D4">
        <w:rPr>
          <w:rFonts w:eastAsia="맑은 고딕"/>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[R-5.11-014] The MCX Service shall provide a means for an MCX Service Administrator to define geographical areas to be used for Location information update triggers for MCX Users within their authority.</w:t>
      </w:r>
    </w:p>
    <w:p w14:paraId="7956B809"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4937D4" w:rsidRDefault="004937D4" w:rsidP="004937D4">
      <w:pPr>
        <w:keepLines/>
        <w:overflowPunct w:val="0"/>
        <w:autoSpaceDE w:val="0"/>
        <w:autoSpaceDN w:val="0"/>
        <w:adjustRightInd w:val="0"/>
        <w:ind w:left="1135" w:hanging="851"/>
        <w:textAlignment w:val="baseline"/>
        <w:rPr>
          <w:rFonts w:eastAsia="맑은 고딕"/>
        </w:rPr>
      </w:pPr>
      <w:r w:rsidRPr="004937D4">
        <w:rPr>
          <w:rFonts w:eastAsia="맑은 고딕"/>
        </w:rPr>
        <w:t>NOTE 2:</w:t>
      </w:r>
      <w:r w:rsidRPr="004937D4">
        <w:rPr>
          <w:rFonts w:eastAsia="맑은 고딕"/>
        </w:rPr>
        <w:tab/>
        <w:t>The Location information update triggers for an MCX User in a predefined area might be different than the Location information update triggers used when the MCX User is not in a predefined area.</w:t>
      </w:r>
    </w:p>
    <w:p w14:paraId="24CA1180" w14:textId="77777777" w:rsidR="004937D4" w:rsidRPr="004937D4" w:rsidRDefault="004937D4" w:rsidP="004937D4">
      <w:pPr>
        <w:widowControl w:val="0"/>
        <w:wordWrap w:val="0"/>
        <w:autoSpaceDE w:val="0"/>
        <w:autoSpaceDN w:val="0"/>
        <w:spacing w:after="0"/>
        <w:jc w:val="both"/>
        <w:rPr>
          <w:rFonts w:eastAsia="SimSun"/>
          <w:noProof/>
          <w:color w:val="FF0000"/>
          <w:kern w:val="2"/>
          <w:sz w:val="24"/>
          <w:szCs w:val="24"/>
          <w:lang w:eastAsia="zh-CN"/>
        </w:rPr>
      </w:pPr>
    </w:p>
    <w:p w14:paraId="770E1F15"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[R-6.12-001] The MCX Service shall provide Location information of the transmitting MCX UE to receiving MCX UEs subject to privacy restrictions.</w:t>
      </w:r>
    </w:p>
    <w:p w14:paraId="73CB62AF"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[R-6.12-002] The MCX Service shall support conveyance of Location information provided by 3GPP location services.</w:t>
      </w:r>
    </w:p>
    <w:p w14:paraId="5C95CFBB"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[R-6.12-003] The MCX Service shall provide a means for an authorized MCX User to restrict the dissemination of his Location information.</w:t>
      </w:r>
    </w:p>
    <w:p w14:paraId="7A4F1205"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[R-6.12-004] The MCX Service shall provide end-to-end confidentiality of Location information.</w:t>
      </w:r>
    </w:p>
    <w:p w14:paraId="467348E5"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[R-6.12-005] The MCX Service shall provide authentication of messages carrying Location information.</w:t>
      </w:r>
    </w:p>
    <w:p w14:paraId="4FC0556D" w14:textId="77777777" w:rsidR="004937D4" w:rsidRPr="004937D4" w:rsidRDefault="004937D4" w:rsidP="004937D4">
      <w:pPr>
        <w:overflowPunct w:val="0"/>
        <w:autoSpaceDE w:val="0"/>
        <w:autoSpaceDN w:val="0"/>
        <w:adjustRightInd w:val="0"/>
        <w:textAlignment w:val="baseline"/>
        <w:rPr>
          <w:rFonts w:eastAsia="맑은 고딕"/>
          <w:lang w:eastAsia="ko-KR"/>
        </w:rPr>
      </w:pPr>
      <w:r w:rsidRPr="004937D4">
        <w:rPr>
          <w:rFonts w:eastAsia="맑은 고딕"/>
        </w:rPr>
        <w:t xml:space="preserve">[R-6.12-006] </w:t>
      </w:r>
      <w:r w:rsidRPr="004937D4">
        <w:rPr>
          <w:rFonts w:eastAsia="맑은 고딕" w:hint="eastAsia"/>
          <w:lang w:eastAsia="ko-KR"/>
        </w:rPr>
        <w:t xml:space="preserve">The </w:t>
      </w:r>
      <w:r w:rsidRPr="004937D4">
        <w:rPr>
          <w:rFonts w:eastAsia="맑은 고딕"/>
          <w:lang w:eastAsia="ko-KR"/>
        </w:rPr>
        <w:t>MC</w:t>
      </w:r>
      <w:r w:rsidRPr="004937D4">
        <w:rPr>
          <w:rFonts w:eastAsia="맑은 고딕" w:hint="eastAsia"/>
          <w:lang w:eastAsia="ko-KR"/>
        </w:rPr>
        <w:t xml:space="preserve">X Service shall </w:t>
      </w:r>
      <w:r w:rsidRPr="004937D4">
        <w:rPr>
          <w:rFonts w:eastAsia="맑은 고딕"/>
        </w:rPr>
        <w:t xml:space="preserve">provide a means for an authorized MCX User </w:t>
      </w:r>
      <w:r w:rsidRPr="004937D4">
        <w:rPr>
          <w:rFonts w:eastAsia="맑은 고딕" w:hint="eastAsia"/>
          <w:lang w:eastAsia="ko-KR"/>
        </w:rPr>
        <w:t xml:space="preserve">to activate a one-time </w:t>
      </w:r>
      <w:r w:rsidRPr="004937D4">
        <w:rPr>
          <w:rFonts w:eastAsia="맑은 고딕"/>
          <w:lang w:eastAsia="ko-KR"/>
        </w:rPr>
        <w:t>L</w:t>
      </w:r>
      <w:r w:rsidRPr="004937D4">
        <w:rPr>
          <w:rFonts w:eastAsia="맑은 고딕" w:hint="eastAsia"/>
          <w:lang w:eastAsia="ko-KR"/>
        </w:rPr>
        <w:t xml:space="preserve">ocation information report of an </w:t>
      </w:r>
      <w:r w:rsidRPr="004937D4">
        <w:rPr>
          <w:rFonts w:eastAsia="맑은 고딕"/>
          <w:lang w:eastAsia="ko-KR"/>
        </w:rPr>
        <w:t>MCX User</w:t>
      </w:r>
      <w:r w:rsidRPr="004937D4">
        <w:rPr>
          <w:rFonts w:eastAsia="맑은 고딕" w:hint="eastAsia"/>
          <w:lang w:eastAsia="ko-KR"/>
        </w:rPr>
        <w:t xml:space="preserve"> and periodic </w:t>
      </w:r>
      <w:r w:rsidRPr="004937D4">
        <w:rPr>
          <w:rFonts w:eastAsia="맑은 고딕"/>
          <w:lang w:eastAsia="ko-KR"/>
        </w:rPr>
        <w:t>L</w:t>
      </w:r>
      <w:r w:rsidRPr="004937D4">
        <w:rPr>
          <w:rFonts w:eastAsia="맑은 고딕" w:hint="eastAsia"/>
          <w:lang w:eastAsia="ko-KR"/>
        </w:rPr>
        <w:t xml:space="preserve">ocation information update reports of an </w:t>
      </w:r>
      <w:r w:rsidRPr="004937D4">
        <w:rPr>
          <w:rFonts w:eastAsia="맑은 고딕"/>
          <w:lang w:eastAsia="ko-KR"/>
        </w:rPr>
        <w:t>MCX User or a specific Functional Alias</w:t>
      </w:r>
      <w:r w:rsidRPr="004937D4">
        <w:rPr>
          <w:rFonts w:eastAsia="맑은 고딕" w:hint="eastAsia"/>
          <w:lang w:eastAsia="ko-KR"/>
        </w:rPr>
        <w:t>.</w:t>
      </w:r>
    </w:p>
    <w:p w14:paraId="209A2771"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 xml:space="preserve">[R-6.12-007] </w:t>
      </w:r>
      <w:r w:rsidRPr="004937D4">
        <w:rPr>
          <w:rFonts w:eastAsia="맑은 고딕" w:hint="eastAsia"/>
          <w:lang w:eastAsia="ko-KR"/>
        </w:rPr>
        <w:t xml:space="preserve">The </w:t>
      </w:r>
      <w:r w:rsidRPr="004937D4">
        <w:rPr>
          <w:rFonts w:eastAsia="맑은 고딕"/>
          <w:lang w:eastAsia="ko-KR"/>
        </w:rPr>
        <w:t>MC</w:t>
      </w:r>
      <w:r w:rsidRPr="004937D4">
        <w:rPr>
          <w:rFonts w:eastAsia="맑은 고딕" w:hint="eastAsia"/>
          <w:lang w:eastAsia="ko-KR"/>
        </w:rPr>
        <w:t xml:space="preserve">X Service shall </w:t>
      </w:r>
      <w:r w:rsidRPr="004937D4">
        <w:rPr>
          <w:rFonts w:eastAsia="맑은 고딕"/>
        </w:rPr>
        <w:t xml:space="preserve">provide a means for an authorized MCX User </w:t>
      </w:r>
      <w:r w:rsidRPr="004937D4">
        <w:rPr>
          <w:rFonts w:eastAsia="맑은 고딕" w:hint="eastAsia"/>
          <w:lang w:eastAsia="ko-KR"/>
        </w:rPr>
        <w:t xml:space="preserve">to deactivate periodic </w:t>
      </w:r>
      <w:r w:rsidRPr="004937D4">
        <w:rPr>
          <w:rFonts w:eastAsia="맑은 고딕"/>
          <w:lang w:eastAsia="ko-KR"/>
        </w:rPr>
        <w:t>L</w:t>
      </w:r>
      <w:r w:rsidRPr="004937D4">
        <w:rPr>
          <w:rFonts w:eastAsia="맑은 고딕" w:hint="eastAsia"/>
          <w:lang w:eastAsia="ko-KR"/>
        </w:rPr>
        <w:t xml:space="preserve">ocation information update report of an </w:t>
      </w:r>
      <w:r w:rsidRPr="004937D4">
        <w:rPr>
          <w:rFonts w:eastAsia="맑은 고딕"/>
          <w:lang w:eastAsia="ko-KR"/>
        </w:rPr>
        <w:t>MCX User</w:t>
      </w:r>
      <w:r w:rsidRPr="004937D4">
        <w:rPr>
          <w:rFonts w:eastAsia="맑은 고딕" w:hint="eastAsia"/>
          <w:lang w:eastAsia="ko-KR"/>
        </w:rPr>
        <w:t>.</w:t>
      </w:r>
    </w:p>
    <w:p w14:paraId="54E7E2A8" w14:textId="77777777" w:rsidR="004937D4" w:rsidRPr="004937D4" w:rsidRDefault="004937D4" w:rsidP="004937D4">
      <w:pPr>
        <w:widowControl w:val="0"/>
        <w:wordWrap w:val="0"/>
        <w:autoSpaceDE w:val="0"/>
        <w:autoSpaceDN w:val="0"/>
        <w:spacing w:after="0"/>
        <w:jc w:val="both"/>
        <w:rPr>
          <w:rFonts w:eastAsia="SimSun"/>
          <w:noProof/>
          <w:color w:val="FF0000"/>
          <w:kern w:val="2"/>
          <w:sz w:val="24"/>
          <w:szCs w:val="24"/>
          <w:lang w:eastAsia="zh-CN"/>
        </w:rPr>
      </w:pPr>
    </w:p>
    <w:p w14:paraId="5EEF213E"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[R-7.8-001] An MCX UE shall be capable of transmitting its Location, if known, to other MCX UEs when operating off the network, subject to privacy restrictions.</w:t>
      </w:r>
    </w:p>
    <w:p w14:paraId="16DB3C0A" w14:textId="77777777" w:rsidR="004937D4" w:rsidRPr="004937D4" w:rsidRDefault="004937D4" w:rsidP="004937D4">
      <w:pPr>
        <w:overflowPunct w:val="0"/>
        <w:autoSpaceDE w:val="0"/>
        <w:autoSpaceDN w:val="0"/>
        <w:adjustRightInd w:val="0"/>
        <w:textAlignment w:val="baseline"/>
        <w:rPr>
          <w:rFonts w:eastAsia="맑은 고딕"/>
        </w:rPr>
      </w:pPr>
      <w:r w:rsidRPr="004937D4">
        <w:rPr>
          <w:rFonts w:eastAsia="맑은 고딕"/>
        </w:rPr>
        <w:t>[R-7.8-002] An MCX UE shall be capable of providing a mechanism for obtaining the distance between the MCX UE and other MCX UEs within communication range.</w:t>
      </w:r>
    </w:p>
    <w:p w14:paraId="739B106A" w14:textId="77777777" w:rsidR="004937D4" w:rsidRPr="004937D4" w:rsidRDefault="004937D4" w:rsidP="004937D4">
      <w:pPr>
        <w:widowControl w:val="0"/>
        <w:wordWrap w:val="0"/>
        <w:autoSpaceDE w:val="0"/>
        <w:autoSpaceDN w:val="0"/>
        <w:spacing w:after="0"/>
        <w:jc w:val="both"/>
        <w:rPr>
          <w:rFonts w:eastAsia="SimSun"/>
          <w:noProof/>
          <w:color w:val="FF0000"/>
          <w:kern w:val="2"/>
          <w:sz w:val="24"/>
          <w:szCs w:val="24"/>
          <w:lang w:val="en-US" w:eastAsia="zh-CN"/>
        </w:rPr>
      </w:pPr>
      <w:r w:rsidRPr="004937D4">
        <w:rPr>
          <w:rFonts w:eastAsia="맑은 고딕"/>
        </w:rPr>
        <w:t xml:space="preserve">[R-7.8-003] </w:t>
      </w:r>
      <w:r w:rsidRPr="004937D4">
        <w:rPr>
          <w:rFonts w:eastAsia="맑은 고딕" w:hint="eastAsia"/>
          <w:lang w:eastAsia="ko-KR"/>
        </w:rPr>
        <w:t xml:space="preserve">The </w:t>
      </w:r>
      <w:r w:rsidRPr="004937D4">
        <w:rPr>
          <w:rFonts w:eastAsia="맑은 고딕"/>
          <w:lang w:eastAsia="x-none"/>
        </w:rPr>
        <w:t xml:space="preserve">Off-Network </w:t>
      </w:r>
      <w:r w:rsidRPr="004937D4">
        <w:rPr>
          <w:rFonts w:eastAsia="맑은 고딕"/>
          <w:lang w:eastAsia="ko-KR"/>
        </w:rPr>
        <w:t>MC</w:t>
      </w:r>
      <w:r w:rsidRPr="004937D4">
        <w:rPr>
          <w:rFonts w:eastAsia="맑은 고딕" w:hint="eastAsia"/>
          <w:lang w:eastAsia="ko-KR"/>
        </w:rPr>
        <w:t xml:space="preserve">X Service shall </w:t>
      </w:r>
      <w:r w:rsidRPr="004937D4">
        <w:rPr>
          <w:rFonts w:eastAsia="맑은 고딕"/>
        </w:rPr>
        <w:t xml:space="preserve">provide a means for an authorized MCX User </w:t>
      </w:r>
      <w:r w:rsidRPr="004937D4">
        <w:rPr>
          <w:rFonts w:eastAsia="맑은 고딕" w:hint="eastAsia"/>
          <w:lang w:eastAsia="ko-KR"/>
        </w:rPr>
        <w:t xml:space="preserve">to activate a one-time </w:t>
      </w:r>
      <w:r w:rsidRPr="004937D4">
        <w:rPr>
          <w:rFonts w:eastAsia="맑은 고딕"/>
          <w:lang w:eastAsia="ko-KR"/>
        </w:rPr>
        <w:t>L</w:t>
      </w:r>
      <w:r w:rsidRPr="004937D4">
        <w:rPr>
          <w:rFonts w:eastAsia="맑은 고딕" w:hint="eastAsia"/>
          <w:lang w:eastAsia="ko-KR"/>
        </w:rPr>
        <w:t>ocation information report of a</w:t>
      </w:r>
      <w:r w:rsidRPr="004937D4">
        <w:rPr>
          <w:rFonts w:eastAsia="맑은 고딕"/>
          <w:lang w:eastAsia="ko-KR"/>
        </w:rPr>
        <w:t xml:space="preserve"> particular target</w:t>
      </w:r>
      <w:r w:rsidRPr="004937D4">
        <w:rPr>
          <w:rFonts w:eastAsia="맑은 고딕" w:hint="eastAsia"/>
          <w:lang w:eastAsia="ko-KR"/>
        </w:rPr>
        <w:t xml:space="preserve"> </w:t>
      </w:r>
      <w:r w:rsidRPr="004937D4">
        <w:rPr>
          <w:rFonts w:eastAsia="맑은 고딕"/>
          <w:lang w:eastAsia="ko-KR"/>
        </w:rPr>
        <w:t>MCX User</w:t>
      </w:r>
      <w:r w:rsidRPr="004937D4">
        <w:rPr>
          <w:rFonts w:eastAsia="맑은 고딕" w:hint="eastAsia"/>
          <w:lang w:eastAsia="ko-KR"/>
        </w:rPr>
        <w:t xml:space="preserve"> </w:t>
      </w:r>
      <w:r w:rsidRPr="004937D4">
        <w:rPr>
          <w:rFonts w:eastAsia="맑은 고딕"/>
        </w:rPr>
        <w:t>within communication range</w:t>
      </w:r>
      <w:r w:rsidRPr="004937D4">
        <w:rPr>
          <w:rFonts w:eastAsia="맑은 고딕" w:hint="eastAsia"/>
          <w:lang w:eastAsia="ko-KR"/>
        </w:rPr>
        <w:t>.</w:t>
      </w:r>
    </w:p>
    <w:p w14:paraId="1ED1A8F9" w14:textId="77777777" w:rsidR="00054A22" w:rsidRPr="00235394" w:rsidRDefault="00080512" w:rsidP="00356255">
      <w:pPr>
        <w:pStyle w:val="1"/>
        <w:ind w:left="0" w:firstLine="0"/>
      </w:pPr>
      <w:r w:rsidRPr="004D3578">
        <w:t>Annex &lt;X&gt; (informative)</w:t>
      </w:r>
      <w:proofErr w:type="gramStart"/>
      <w:r w:rsidRPr="004D3578">
        <w:t>:</w:t>
      </w:r>
      <w:proofErr w:type="gramEnd"/>
      <w:r w:rsidRPr="004D3578">
        <w:br/>
        <w:t>Change history</w:t>
      </w:r>
      <w:bookmarkEnd w:id="15"/>
      <w:bookmarkEnd w:id="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77777777" w:rsidR="003C3971" w:rsidRPr="006B0D02" w:rsidRDefault="006825BA" w:rsidP="00356255">
            <w:pPr>
              <w:pStyle w:val="TAC"/>
              <w:rPr>
                <w:sz w:val="16"/>
                <w:szCs w:val="16"/>
                <w:lang w:eastAsia="ko-KR"/>
              </w:rPr>
            </w:pPr>
            <w:r>
              <w:rPr>
                <w:rFonts w:hint="eastAsia"/>
                <w:sz w:val="16"/>
                <w:szCs w:val="16"/>
                <w:lang w:eastAsia="ko-KR"/>
              </w:rPr>
              <w:t>RAN#91-e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77777777" w:rsidR="00557869" w:rsidRPr="006B0D02" w:rsidRDefault="00557869" w:rsidP="00557869">
            <w:pPr>
              <w:pStyle w:val="TAC"/>
              <w:rPr>
                <w:sz w:val="16"/>
                <w:szCs w:val="16"/>
                <w:lang w:eastAsia="ko-KR"/>
              </w:rPr>
            </w:pPr>
            <w:r>
              <w:rPr>
                <w:rFonts w:hint="eastAsia"/>
                <w:sz w:val="16"/>
                <w:szCs w:val="16"/>
                <w:lang w:eastAsia="ko-KR"/>
              </w:rPr>
              <w:t>RAN#91-e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77777777" w:rsidR="00557869" w:rsidRDefault="00557869" w:rsidP="00557869">
            <w:pPr>
              <w:pStyle w:val="TAL"/>
              <w:rPr>
                <w:sz w:val="16"/>
                <w:szCs w:val="16"/>
                <w:lang w:eastAsia="ko-KR"/>
              </w:rPr>
            </w:pPr>
            <w:r w:rsidRPr="00557869">
              <w:rPr>
                <w:sz w:val="16"/>
                <w:szCs w:val="16"/>
                <w:lang w:eastAsia="ko-KR"/>
              </w:rPr>
              <w:t>Positioning requirements for V2X and public safety</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bl>
    <w:p w14:paraId="68DD8465" w14:textId="77777777" w:rsidR="00080512" w:rsidRDefault="00080512" w:rsidP="0003412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anbyul Seo" w:date="2021-03-26T19:07:00Z" w:initials="HS">
    <w:p w14:paraId="0B197762" w14:textId="77777777" w:rsidR="005F1213" w:rsidRDefault="005F1213">
      <w:pPr>
        <w:pStyle w:val="ab"/>
      </w:pPr>
      <w:r>
        <w:rPr>
          <w:rStyle w:val="aa"/>
        </w:rPr>
        <w:annotationRef/>
      </w:r>
      <w:r w:rsidRPr="005F1213">
        <w:t>FFS which set is applicable for absolute and relative positioning.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19776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8EA54" w14:textId="77777777" w:rsidR="00362DA5" w:rsidRDefault="00362DA5">
      <w:r>
        <w:separator/>
      </w:r>
    </w:p>
  </w:endnote>
  <w:endnote w:type="continuationSeparator" w:id="0">
    <w:p w14:paraId="2D35FBB3" w14:textId="77777777" w:rsidR="00362DA5" w:rsidRDefault="0036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EFA22" w14:textId="77777777" w:rsidR="00362DA5" w:rsidRDefault="00362DA5">
      <w:r>
        <w:separator/>
      </w:r>
    </w:p>
  </w:footnote>
  <w:footnote w:type="continuationSeparator" w:id="0">
    <w:p w14:paraId="53D9FAF5" w14:textId="77777777" w:rsidR="00362DA5" w:rsidRDefault="00362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77777777"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213">
      <w:rPr>
        <w:rFonts w:ascii="Arial" w:hAnsi="Arial" w:cs="Arial"/>
        <w:b/>
        <w:noProof/>
        <w:sz w:val="18"/>
        <w:szCs w:val="18"/>
      </w:rPr>
      <w:t>3GPP TR 38.845 V0.1.0 (2021-03)</w:t>
    </w:r>
    <w:r>
      <w:rPr>
        <w:rFonts w:ascii="Arial" w:hAnsi="Arial" w:cs="Arial"/>
        <w:b/>
        <w:sz w:val="18"/>
        <w:szCs w:val="18"/>
      </w:rPr>
      <w:fldChar w:fldCharType="end"/>
    </w:r>
  </w:p>
  <w:p w14:paraId="5C100FB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1213">
      <w:rPr>
        <w:rFonts w:ascii="Arial" w:hAnsi="Arial" w:cs="Arial"/>
        <w:b/>
        <w:noProof/>
        <w:sz w:val="18"/>
        <w:szCs w:val="18"/>
      </w:rPr>
      <w:t>8</w:t>
    </w:r>
    <w:r>
      <w:rPr>
        <w:rFonts w:ascii="Arial" w:hAnsi="Arial" w:cs="Arial"/>
        <w:b/>
        <w:sz w:val="18"/>
        <w:szCs w:val="18"/>
      </w:rPr>
      <w:fldChar w:fldCharType="end"/>
    </w:r>
  </w:p>
  <w:p w14:paraId="6F3768EB" w14:textId="7777777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213">
      <w:rPr>
        <w:rFonts w:ascii="Arial" w:hAnsi="Arial" w:cs="Arial"/>
        <w:b/>
        <w:noProof/>
        <w:sz w:val="18"/>
        <w:szCs w:val="18"/>
      </w:rPr>
      <w:t>Release 17</w:t>
    </w:r>
    <w:r>
      <w:rPr>
        <w:rFonts w:ascii="Arial" w:hAnsi="Arial" w:cs="Arial"/>
        <w:b/>
        <w:sz w:val="18"/>
        <w:szCs w:val="18"/>
      </w:rPr>
      <w:fldChar w:fldCharType="end"/>
    </w:r>
  </w:p>
  <w:p w14:paraId="3BC0FB3A" w14:textId="77777777"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33525"/>
    <w:rsid w:val="00146875"/>
    <w:rsid w:val="0015426D"/>
    <w:rsid w:val="00172C43"/>
    <w:rsid w:val="00190A7E"/>
    <w:rsid w:val="001A4837"/>
    <w:rsid w:val="001A4C42"/>
    <w:rsid w:val="001B7A37"/>
    <w:rsid w:val="001C21C3"/>
    <w:rsid w:val="001D02C2"/>
    <w:rsid w:val="001F0C1D"/>
    <w:rsid w:val="001F1132"/>
    <w:rsid w:val="001F168B"/>
    <w:rsid w:val="001F6857"/>
    <w:rsid w:val="001F6F75"/>
    <w:rsid w:val="00203442"/>
    <w:rsid w:val="002247E8"/>
    <w:rsid w:val="002261ED"/>
    <w:rsid w:val="002347A2"/>
    <w:rsid w:val="002675F0"/>
    <w:rsid w:val="0029044B"/>
    <w:rsid w:val="00290512"/>
    <w:rsid w:val="002947F4"/>
    <w:rsid w:val="002B6339"/>
    <w:rsid w:val="002C16F2"/>
    <w:rsid w:val="002D09D7"/>
    <w:rsid w:val="002D73F4"/>
    <w:rsid w:val="002E00EE"/>
    <w:rsid w:val="003058C9"/>
    <w:rsid w:val="003172DC"/>
    <w:rsid w:val="00334E4A"/>
    <w:rsid w:val="0035462D"/>
    <w:rsid w:val="00356255"/>
    <w:rsid w:val="0035690E"/>
    <w:rsid w:val="003569DD"/>
    <w:rsid w:val="00362DA5"/>
    <w:rsid w:val="003765B8"/>
    <w:rsid w:val="00377AAB"/>
    <w:rsid w:val="0038299C"/>
    <w:rsid w:val="00382D7C"/>
    <w:rsid w:val="00385C84"/>
    <w:rsid w:val="003C3971"/>
    <w:rsid w:val="003C3F01"/>
    <w:rsid w:val="003C5494"/>
    <w:rsid w:val="003C64B3"/>
    <w:rsid w:val="00423334"/>
    <w:rsid w:val="004275B3"/>
    <w:rsid w:val="004345EC"/>
    <w:rsid w:val="00471F82"/>
    <w:rsid w:val="004937D4"/>
    <w:rsid w:val="00496FAB"/>
    <w:rsid w:val="004D3578"/>
    <w:rsid w:val="004E213A"/>
    <w:rsid w:val="004F0988"/>
    <w:rsid w:val="004F3340"/>
    <w:rsid w:val="00506567"/>
    <w:rsid w:val="0051688A"/>
    <w:rsid w:val="0052364D"/>
    <w:rsid w:val="0053388B"/>
    <w:rsid w:val="00533A5B"/>
    <w:rsid w:val="00535773"/>
    <w:rsid w:val="00543E6C"/>
    <w:rsid w:val="005519DE"/>
    <w:rsid w:val="00555B67"/>
    <w:rsid w:val="005574E8"/>
    <w:rsid w:val="00557869"/>
    <w:rsid w:val="00565087"/>
    <w:rsid w:val="00565315"/>
    <w:rsid w:val="005931EE"/>
    <w:rsid w:val="005B21B8"/>
    <w:rsid w:val="005B3B79"/>
    <w:rsid w:val="005B5AAE"/>
    <w:rsid w:val="005D2E01"/>
    <w:rsid w:val="005D6692"/>
    <w:rsid w:val="005D7526"/>
    <w:rsid w:val="005F1213"/>
    <w:rsid w:val="00602AEA"/>
    <w:rsid w:val="00614FDF"/>
    <w:rsid w:val="006155EA"/>
    <w:rsid w:val="0063543D"/>
    <w:rsid w:val="00647114"/>
    <w:rsid w:val="006666D8"/>
    <w:rsid w:val="006825BA"/>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641DF"/>
    <w:rsid w:val="00774DA4"/>
    <w:rsid w:val="00781F0F"/>
    <w:rsid w:val="00793AF5"/>
    <w:rsid w:val="007B600E"/>
    <w:rsid w:val="007F0F4A"/>
    <w:rsid w:val="008028A4"/>
    <w:rsid w:val="008118A1"/>
    <w:rsid w:val="00821874"/>
    <w:rsid w:val="00830747"/>
    <w:rsid w:val="00842F7A"/>
    <w:rsid w:val="00860091"/>
    <w:rsid w:val="008768CA"/>
    <w:rsid w:val="008924C1"/>
    <w:rsid w:val="008B120E"/>
    <w:rsid w:val="008C384C"/>
    <w:rsid w:val="008E0403"/>
    <w:rsid w:val="008F3875"/>
    <w:rsid w:val="0090271F"/>
    <w:rsid w:val="00902E23"/>
    <w:rsid w:val="00905471"/>
    <w:rsid w:val="009114D7"/>
    <w:rsid w:val="0091348E"/>
    <w:rsid w:val="00917CCB"/>
    <w:rsid w:val="0092203D"/>
    <w:rsid w:val="00942EC2"/>
    <w:rsid w:val="009A6ECD"/>
    <w:rsid w:val="009D3F5A"/>
    <w:rsid w:val="009E625C"/>
    <w:rsid w:val="009F37B7"/>
    <w:rsid w:val="00A10F02"/>
    <w:rsid w:val="00A164B4"/>
    <w:rsid w:val="00A26956"/>
    <w:rsid w:val="00A53724"/>
    <w:rsid w:val="00A7049D"/>
    <w:rsid w:val="00A73129"/>
    <w:rsid w:val="00A82346"/>
    <w:rsid w:val="00A83922"/>
    <w:rsid w:val="00A92BA1"/>
    <w:rsid w:val="00AB2655"/>
    <w:rsid w:val="00AC6BC6"/>
    <w:rsid w:val="00AD1F4B"/>
    <w:rsid w:val="00AE4D8B"/>
    <w:rsid w:val="00B06224"/>
    <w:rsid w:val="00B15449"/>
    <w:rsid w:val="00B5550B"/>
    <w:rsid w:val="00B55759"/>
    <w:rsid w:val="00B76122"/>
    <w:rsid w:val="00B93086"/>
    <w:rsid w:val="00BA19ED"/>
    <w:rsid w:val="00BA4B8D"/>
    <w:rsid w:val="00BB0D1D"/>
    <w:rsid w:val="00BC0F7D"/>
    <w:rsid w:val="00BD0446"/>
    <w:rsid w:val="00BD1A1D"/>
    <w:rsid w:val="00BE3255"/>
    <w:rsid w:val="00BE57E3"/>
    <w:rsid w:val="00BF128E"/>
    <w:rsid w:val="00C10AE0"/>
    <w:rsid w:val="00C1496A"/>
    <w:rsid w:val="00C33079"/>
    <w:rsid w:val="00C40B67"/>
    <w:rsid w:val="00C43931"/>
    <w:rsid w:val="00C45231"/>
    <w:rsid w:val="00C50CB7"/>
    <w:rsid w:val="00C72833"/>
    <w:rsid w:val="00C80F1D"/>
    <w:rsid w:val="00C8206E"/>
    <w:rsid w:val="00C93F40"/>
    <w:rsid w:val="00C973E1"/>
    <w:rsid w:val="00CA3D0C"/>
    <w:rsid w:val="00CB16A5"/>
    <w:rsid w:val="00CB47B5"/>
    <w:rsid w:val="00CB4997"/>
    <w:rsid w:val="00CB4E57"/>
    <w:rsid w:val="00CE301D"/>
    <w:rsid w:val="00CF2843"/>
    <w:rsid w:val="00CF66A7"/>
    <w:rsid w:val="00D070A4"/>
    <w:rsid w:val="00D1581B"/>
    <w:rsid w:val="00D34DFD"/>
    <w:rsid w:val="00D42AA0"/>
    <w:rsid w:val="00D57972"/>
    <w:rsid w:val="00D675A9"/>
    <w:rsid w:val="00D738D6"/>
    <w:rsid w:val="00D755EB"/>
    <w:rsid w:val="00D83303"/>
    <w:rsid w:val="00D87E00"/>
    <w:rsid w:val="00D9134D"/>
    <w:rsid w:val="00DA219F"/>
    <w:rsid w:val="00DA7A03"/>
    <w:rsid w:val="00DB1818"/>
    <w:rsid w:val="00DC0B7C"/>
    <w:rsid w:val="00DC309B"/>
    <w:rsid w:val="00DC4938"/>
    <w:rsid w:val="00DC4DA2"/>
    <w:rsid w:val="00DD16E0"/>
    <w:rsid w:val="00DD25EF"/>
    <w:rsid w:val="00DD4C17"/>
    <w:rsid w:val="00DF2B1F"/>
    <w:rsid w:val="00DF62CD"/>
    <w:rsid w:val="00DF7926"/>
    <w:rsid w:val="00E16509"/>
    <w:rsid w:val="00E276DB"/>
    <w:rsid w:val="00E44582"/>
    <w:rsid w:val="00E62BB2"/>
    <w:rsid w:val="00E62FEF"/>
    <w:rsid w:val="00E64E41"/>
    <w:rsid w:val="00E77645"/>
    <w:rsid w:val="00E7772B"/>
    <w:rsid w:val="00EC4A25"/>
    <w:rsid w:val="00ED7D4B"/>
    <w:rsid w:val="00F025A2"/>
    <w:rsid w:val="00F04712"/>
    <w:rsid w:val="00F07AFF"/>
    <w:rsid w:val="00F22EC7"/>
    <w:rsid w:val="00F325C8"/>
    <w:rsid w:val="00F445D8"/>
    <w:rsid w:val="00F638A7"/>
    <w:rsid w:val="00F653B8"/>
    <w:rsid w:val="00F76906"/>
    <w:rsid w:val="00F83F03"/>
    <w:rsid w:val="00FA1266"/>
    <w:rsid w:val="00FB5AA9"/>
    <w:rsid w:val="00FC1192"/>
    <w:rsid w:val="00FD38DF"/>
    <w:rsid w:val="00FF1B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3BD00-BEA8-4A2A-9E3F-CC21EC9A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15</Pages>
  <Words>4124</Words>
  <Characters>23510</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21</cp:revision>
  <cp:lastPrinted>2019-02-25T14:05:00Z</cp:lastPrinted>
  <dcterms:created xsi:type="dcterms:W3CDTF">2019-05-03T19:10:00Z</dcterms:created>
  <dcterms:modified xsi:type="dcterms:W3CDTF">2021-03-26T10:08:00Z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